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lang w:val="ru-RU"/>
        </w:rPr>
      </w:pPr>
      <w:r>
        <w:rPr>
          <w:lang w:val="ru-RU"/>
        </w:rPr>
        <w:t>Пенсионные коэффициенты могут формироваться как за страховые, так и за нестраховые периоды</w:t>
      </w:r>
    </w:p>
    <w:p>
      <w:pPr>
        <w:pStyle w:val="1"/>
        <w:spacing w:lineRule="auto" w:line="240" w:before="0" w:after="0"/>
        <w:jc w:val="center"/>
        <w:rPr>
          <w:lang w:val="ru-RU"/>
        </w:rPr>
      </w:pPr>
      <w:r>
        <w:rPr>
          <w:lang w:val="ru-RU"/>
        </w:rPr>
      </w:r>
    </w:p>
    <w:p>
      <w:pPr>
        <w:pStyle w:val="Style15"/>
        <w:spacing w:lineRule="auto" w:line="240" w:before="0" w:after="0"/>
        <w:jc w:val="both"/>
        <w:rPr/>
      </w:pPr>
      <w:r>
        <w:rPr>
          <w:lang w:val="ru-RU"/>
        </w:rPr>
        <w:t xml:space="preserve">УПФР в Краснослободском муниципальном районе РМ (межрайонное) </w:t>
      </w:r>
      <w:r>
        <w:rPr>
          <w:lang w:val="ru-RU"/>
        </w:rPr>
        <w:t>напоминает: страховая пенсия по старости формируется в пенсионных коэффициентах: чем их больше, тем выше размер пенсии.</w:t>
      </w:r>
    </w:p>
    <w:p>
      <w:pPr>
        <w:pStyle w:val="Style15"/>
        <w:spacing w:lineRule="auto" w:line="240" w:before="0" w:after="0"/>
        <w:jc w:val="both"/>
        <w:rPr/>
      </w:pPr>
      <w:r>
        <w:rPr/>
        <w:t>Пенсионные коэффициенты могут формироваться как за страховые, так и за нестраховые периоды. Периоды работы, в течение которых за гражданина уплачиваются страховые взносы в Пенсионный фонд, называются страховыми. Нестраховые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В частности, к ним относится период ухода за ребенком.</w:t>
      </w:r>
    </w:p>
    <w:p>
      <w:pPr>
        <w:pStyle w:val="Style15"/>
        <w:spacing w:lineRule="auto" w:line="240" w:before="0" w:after="0"/>
        <w:jc w:val="both"/>
        <w:rPr/>
      </w:pPr>
      <w:r>
        <w:rPr/>
        <w:t>В соответствии со ст. 12 Федерального закона от 28.12.2013 № 400-ФЗ «О страховых пенсиях» в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 Пенсионные коэффициенты начисляются не более чем за 4 детей.</w:t>
      </w:r>
    </w:p>
    <w:p>
      <w:pPr>
        <w:pStyle w:val="Style15"/>
        <w:spacing w:lineRule="auto" w:line="240" w:before="0" w:after="0"/>
        <w:jc w:val="both"/>
        <w:rPr/>
      </w:pPr>
      <w:r>
        <w:rPr/>
        <w:t>Также в страховой стаж может быть включен период ухода за ребенком-инвалидом, если соответствующий период не засчитан в страховой стаж другому родителю при установлении ему страховой пенсии. За эти периоды начисляются пенсионные коэффициенты.</w:t>
      </w:r>
    </w:p>
    <w:p>
      <w:pPr>
        <w:pStyle w:val="Style15"/>
        <w:spacing w:lineRule="auto" w:line="240" w:before="0" w:after="0"/>
        <w:jc w:val="both"/>
        <w:rPr/>
      </w:pPr>
      <w:r>
        <w:rPr>
          <w:rStyle w:val="Style12"/>
        </w:rPr>
        <w:t>Так, за один календарный год установлены следующие коэффициенты: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/>
        <w:t xml:space="preserve">1,8 пенсионного коэффициента – период ухода за ребенком-инвалидом, инвалидом I группы;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/>
        <w:t xml:space="preserve">1,8 пенсионного коэффициента – период ухода одного из родителей за первым ребенком до 1,5 лет;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/>
        <w:t xml:space="preserve">3,6 пенсионного коэффициента – период ухода одного из родителей за вторым ребенком до 1,5 лет;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/>
        <w:t xml:space="preserve">5,4 пенсионного коэффициента – период ухода одного из родителей за третьим (четвертым) ребенком до 1,5 лет. </w:t>
      </w:r>
    </w:p>
    <w:p>
      <w:pPr>
        <w:pStyle w:val="Style15"/>
        <w:spacing w:lineRule="auto" w:line="240" w:before="0" w:after="0"/>
        <w:jc w:val="both"/>
        <w:rPr/>
      </w:pPr>
      <w:r>
        <w:rPr>
          <w:rStyle w:val="Style12"/>
        </w:rPr>
        <w:t>Пенсионные коэффициенты будут начислены, если в этот период гражданин не состоял в трудовых отношениях.</w:t>
      </w:r>
    </w:p>
    <w:p>
      <w:pPr>
        <w:pStyle w:val="Style15"/>
        <w:spacing w:lineRule="auto" w:line="240" w:before="0" w:after="0"/>
        <w:jc w:val="both"/>
        <w:rPr/>
      </w:pPr>
      <w:r>
        <w:rPr/>
        <w:t>Если гражданин в период нахождения в отпуске по уходу за ребенком работал, то у него будет право выбора, какие пенсионные коэффициенты использовать при расчете пенсии: или за работу, или за нестраховой период. Если несколько входящих в страховой стаж периодов совпадают по времени, то при назначении пенсии учитывается только один из них.</w:t>
      </w:r>
    </w:p>
    <w:p>
      <w:pPr>
        <w:pStyle w:val="Style15"/>
        <w:spacing w:lineRule="auto" w:line="240" w:before="0" w:after="0"/>
        <w:jc w:val="both"/>
        <w:rPr/>
      </w:pPr>
      <w:r>
        <w:rPr/>
        <w:t>ПФР учитывает тот период, который дает право на страховую пенсию и (или) на определение величины индивидуального пенсионного коэффициента в более высоком размере. Гражданин, обратившийся за установлением пенсии, может указать в заявлении выбранный им для учета в страховой стаж период.</w:t>
      </w:r>
    </w:p>
    <w:p>
      <w:pPr>
        <w:pStyle w:val="Style15"/>
        <w:spacing w:lineRule="auto" w:line="240" w:before="0" w:after="0"/>
        <w:jc w:val="both"/>
        <w:rPr/>
      </w:pPr>
      <w:r>
        <w:rPr/>
        <w:t>Отметим, что 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</w:t>
      </w:r>
    </w:p>
    <w:p>
      <w:pPr>
        <w:pStyle w:val="Style15"/>
        <w:spacing w:lineRule="auto" w:line="240" w:before="0" w:after="0"/>
        <w:jc w:val="both"/>
        <w:rPr/>
      </w:pPr>
      <w:r>
        <w:rPr/>
        <w:t xml:space="preserve">Узнать о своих сформированных правах можно в личном кабинете на </w:t>
      </w:r>
      <w:hyperlink r:id="rId2">
        <w:r>
          <w:rPr>
            <w:rStyle w:val="Style11"/>
          </w:rPr>
          <w:t>официальном сайте Пенсионного фонда</w:t>
        </w:r>
      </w:hyperlink>
      <w:r>
        <w:rPr/>
        <w:t xml:space="preserve">, на портале </w:t>
      </w:r>
      <w:hyperlink r:id="rId3">
        <w:r>
          <w:rPr>
            <w:rStyle w:val="Style11"/>
          </w:rPr>
          <w:t>госуслуг</w:t>
        </w:r>
      </w:hyperlink>
      <w:r>
        <w:rPr/>
        <w:t>, в мобильном приложении ПФР, а также в клиентской службе ПФР или  МФЦ.</w:t>
      </w:r>
      <w:r>
        <w:rPr>
          <w:rStyle w:val="Style12"/>
        </w:rPr>
        <w:t>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2021-05-13T16:48:07Z</dcterms:created>
  <dc:language>ru-RU</dc:language>
  <dcterms:modified xsi:type="dcterms:W3CDTF">2021-05-13T16:49:35Z</dcterms:modified>
  <cp:revision>1</cp:revision>
</cp:coreProperties>
</file>