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Style12"/>
          <w:b w:val="false"/>
          <w:bCs w:val="false"/>
          <w:sz w:val="24"/>
          <w:szCs w:val="24"/>
        </w:rP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рублей. Сделать это можно на портале </w:t>
      </w:r>
      <w:hyperlink r:id="rId2">
        <w:r>
          <w:rPr>
            <w:rStyle w:val="Style12"/>
            <w:b w:val="false"/>
            <w:bCs w:val="false"/>
            <w:sz w:val="24"/>
            <w:szCs w:val="24"/>
          </w:rPr>
          <w:t>Госуслуг</w:t>
        </w:r>
      </w:hyperlink>
      <w:r>
        <w:rPr>
          <w:rStyle w:val="Style12"/>
          <w:b w:val="false"/>
          <w:bCs w:val="false"/>
          <w:sz w:val="24"/>
          <w:szCs w:val="24"/>
        </w:rPr>
        <w:t xml:space="preserve"> или лично в клиентской службе Пенсионного фонда по предварительной записи.</w:t>
      </w:r>
    </w:p>
    <w:p>
      <w:pPr>
        <w:pStyle w:val="Style14"/>
        <w:jc w:val="both"/>
        <w:rPr/>
      </w:pPr>
      <w:r>
        <w:rPr/>
        <w:t xml:space="preserve">Напомним, в соответствии с </w:t>
      </w:r>
      <w:hyperlink r:id="rId3">
        <w:r>
          <w:rPr>
            <w:rStyle w:val="Style11"/>
          </w:rPr>
          <w:t>указом президента</w:t>
        </w:r>
      </w:hyperlink>
      <w:r>
        <w:rPr/>
        <w:t xml:space="preserve"> </w:t>
      </w:r>
      <w:bookmarkStart w:id="0" w:name="__DdeLink__910_1793658309"/>
      <w:r>
        <w:rPr/>
        <w:t>единовременная выплата</w:t>
      </w:r>
      <w:bookmarkEnd w:id="0"/>
      <w:r>
        <w:rPr/>
        <w:t xml:space="preserve"> положена родителям, усыновителям, опекунам и попечителям детей до 7 лет включительно, и составляет 5 тыс. рублей на каждого ребёнка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 ее получили семьи с 13,7 млн детей.</w:t>
      </w:r>
    </w:p>
    <w:p>
      <w:pPr>
        <w:pStyle w:val="Style14"/>
        <w:jc w:val="both"/>
        <w:rPr/>
      </w:pPr>
      <w:r>
        <w:rPr/>
        <w:t>Однако в случае, если ребёнок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>
      <w:pPr>
        <w:pStyle w:val="Style14"/>
        <w:jc w:val="both"/>
        <w:rPr/>
      </w:pPr>
      <w:r>
        <w:rPr/>
        <w:t>Для этого родителям необходимо указать в заявлении данные свидетельства о рождении каждого ребёнка и реквизиты банковского счёта,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счёт. Заявление заполняется на русском языке родителем, официальным представителем или опекуном ребёнка.</w:t>
      </w:r>
    </w:p>
    <w:p>
      <w:pPr>
        <w:pStyle w:val="Style14"/>
        <w:jc w:val="both"/>
        <w:rPr/>
      </w:pPr>
      <w:r>
        <w:rPr/>
        <w:t xml:space="preserve">Подробнее о </w:t>
      </w:r>
      <w:hyperlink r:id="rId4">
        <w:r>
          <w:rPr>
            <w:rStyle w:val="Style11"/>
          </w:rPr>
          <w:t>единовременной выплате</w:t>
        </w:r>
      </w:hyperlink>
      <w:r>
        <w:rPr/>
        <w:t xml:space="preserve"> на детей.</w:t>
      </w:r>
    </w:p>
    <w:p>
      <w:pPr>
        <w:pStyle w:val="Style14"/>
        <w:spacing w:before="0" w:after="12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589780"/>
            <wp:effectExtent l="0" t="0" r="0" b="0"/>
            <wp:wrapSquare wrapText="largest"/>
            <wp:docPr id="1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10016/1?from=main " TargetMode="External"/><Relationship Id="rId3" Type="http://schemas.openxmlformats.org/officeDocument/2006/relationships/hyperlink" Target="http://publication.pravo.gov.ru/Document/View/0001202012170034 " TargetMode="External"/><Relationship Id="rId4" Type="http://schemas.openxmlformats.org/officeDocument/2006/relationships/hyperlink" Target="https://pfr.gov.ru/grazhdanam/family_with_children/up_to_7_years/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2021-02-04T17:10:22Z</dcterms:modified>
  <cp:revision>3</cp:revision>
</cp:coreProperties>
</file>