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Мы получаем много вопросов о том, как распорядиться средствами материнского капитала, если ребенку еще не исполнилось 3-х лет.</w:t>
        <w:br/>
        <w:br/>
        <w:t xml:space="preserve">Публикуем памятку о том, на что можно потратить средства МСК до того, как ребенку исполнилось 3 года, и после.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154305</wp:posOffset>
            </wp:positionH>
            <wp:positionV relativeFrom="paragraph">
              <wp:posOffset>118110</wp:posOffset>
            </wp:positionV>
            <wp:extent cx="2039620" cy="203962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2661285</wp:posOffset>
            </wp:positionH>
            <wp:positionV relativeFrom="paragraph">
              <wp:posOffset>64770</wp:posOffset>
            </wp:positionV>
            <wp:extent cx="2112645" cy="2112010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2021-03-31T10:18:06Z</dcterms:created>
  <dc:language>ru-RU</dc:language>
  <dcterms:modified xsi:type="dcterms:W3CDTF">2021-03-31T10:20:40Z</dcterms:modified>
  <cp:revision>1</cp:revision>
</cp:coreProperties>
</file>