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До 1 марта 2021 года ПФР автоматически назначает и продлевает выплаты по инвалидности.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-89535</wp:posOffset>
            </wp:positionH>
            <wp:positionV relativeFrom="paragraph">
              <wp:posOffset>38100</wp:posOffset>
            </wp:positionV>
            <wp:extent cx="3613150" cy="3611245"/>
            <wp:effectExtent l="0" t="0" r="0" b="0"/>
            <wp:wrapSquare wrapText="largest"/>
            <wp:docPr id="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2517140</wp:posOffset>
            </wp:positionH>
            <wp:positionV relativeFrom="paragraph">
              <wp:posOffset>6350</wp:posOffset>
            </wp:positionV>
            <wp:extent cx="3924935" cy="3923030"/>
            <wp:effectExtent l="0" t="0" r="0" b="0"/>
            <wp:wrapSquare wrapText="largest"/>
            <wp:docPr id="2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2021-02-10T15:09:46Z</dcterms:modified>
  <cp:revision>3</cp:revision>
</cp:coreProperties>
</file>