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t>Недополученная пенсия: кто имеет на нее право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t>Начисленные суммы пенсии, причитавшиеся пенсионеру в текущем месяце и оставшиеся неполученными в связи с его смертью, имеют право только родственники, которые жили с гражданином на момент его смерти. Если такие лица имеются, пенсионные средства не могут быть включены в состав имущества, подлежащего наследованию. Членами семьи считаются родные братья и сёстры, дети или внуки, супруг или супруга, родители, бабушки и дедушки.</w:t>
        <w:br/>
        <w:t xml:space="preserve">Напомним, обратиться за деньгами можно в течении 6 месяцев со дня смерти пенсионера. </w:t>
        <w:br/>
        <w:t>Если ближайшие родственники, соответствующие условиям закона, отсутствуют, то по истечении полугода со дня смерти пенсионера начисленная пенсия наследуется на общих основаниях.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t>Для выплаты неполученной суммы пенсии членам семьи умершего пенсионера, проживавшим совместно с ним на день его смерти, необходимо представить следующие документы: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t>- заявление о выплате начисленной и неполученной пенсионером суммы пенсии;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t>- паспорт заявителя;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t>- свидетельство о смерти;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t>- документы, подтверждающие родственные отношения (свидетельство о браке, свидетельство о рождении и т.д.).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t>- реквизиты в кредитной организации (с которой у Отделения заключен договор), куда будут зачислены денежные средства.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t xml:space="preserve">Вышеперечисленные документы предоставляются в территориальный орган Пенсионного фонда, который выплачивал пенсию умершему пенсионеру. 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/>
          <w:color w:val="000000"/>
          <w:sz w:val="24"/>
        </w:rPr>
      </w:pPr>
      <w:r>
        <w:rPr>
          <w:rFonts w:ascii="Liberation Sans" w:hAnsi="Liberation Sans"/>
          <w:color w:val="00000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05550" cy="3546475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2020-09-11T15:23:47Z</dcterms:created>
  <dc:language>ru-RU</dc:language>
  <dcterms:modified xsi:type="dcterms:W3CDTF">2020-10-14T11:22:18Z</dcterms:modified>
  <cp:revision>3</cp:revision>
</cp:coreProperties>
</file>