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Материнский (семейный) капитал</w:t>
      </w:r>
    </w:p>
    <w:p>
      <w:pPr>
        <w:pStyle w:val="Style13"/>
        <w:jc w:val="both"/>
        <w:rPr>
          <w:sz w:val="24"/>
          <w:szCs w:val="24"/>
        </w:rPr>
      </w:pPr>
      <w:r>
        <w:rPr>
          <w:rStyle w:val="Style11"/>
          <w:rFonts w:ascii="Times New Roman" w:hAnsi="Times New Roman"/>
          <w:sz w:val="24"/>
          <w:szCs w:val="24"/>
        </w:rPr>
        <w:t>Материнский (семейный) капитал</w:t>
      </w:r>
      <w:r>
        <w:rPr>
          <w:rFonts w:ascii="Times New Roman" w:hAnsi="Times New Roman"/>
          <w:sz w:val="24"/>
          <w:szCs w:val="24"/>
        </w:rPr>
        <w:t xml:space="preserve"> – это мера государственной поддержки российских семей, в которых с 2007 года родился или был усыновлен второй ребенок (а также третий, четвертый и любой следующий ребенок, если до этого право на материнский капитал не возникало или не оформлялось).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Семьи, в которых начиная с 1 января 2020 года появился первый ребенок, также имеют право на материнский капитал. Для семей, в которых с 2020 года появился второй ребенок, материнский капитал дополнительно увеличивается на 155 550 рублей. Для семей, в которых после 1 января 2020 года родился третий ребенок или последующие дети, материнский (семейный) капитал устанавливается в размере 639 431 руб. 83 коп в случае, если ранее право на дополнительные меры государственной поддержки семей, имеющих детей, не возникало.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972560" cy="1930400"/>
            <wp:effectExtent l="0" t="0" r="0" b="0"/>
            <wp:wrapSquare wrapText="largest"/>
            <wp:docPr id="1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6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972560" cy="1930400"/>
            <wp:effectExtent l="0" t="0" r="0" b="0"/>
            <wp:wrapSquare wrapText="largest"/>
            <wp:docPr id="2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6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3"/>
        <w:spacing w:before="0" w:after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972560" cy="1930400"/>
            <wp:effectExtent l="0" t="0" r="0" b="0"/>
            <wp:wrapSquare wrapText="largest"/>
            <wp:docPr id="3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6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2021-03-15T12:39:53Z</dcterms:created>
  <dc:language>ru-RU</dc:language>
  <dcterms:modified xsi:type="dcterms:W3CDTF">2021-03-15T12:47:32Z</dcterms:modified>
  <cp:revision>1</cp:revision>
</cp:coreProperties>
</file>