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>Выбираем электронную трудовую книжку.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Для тех, кто еще не принял решение, напоминаем о преимуществах электронной трудовой книжки: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Удобный и быстрый доступ работников к информации о трудовой деятельности;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Минимизация ошибочных, неточных и недостоверных сведений о трудовой деятельности;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Дополнительные возможности дистанционного трудоустройства;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Снижение издержек работодателей на приобретение, ведение и хранение бумажных трудовых книжек;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Использование данных электронной трудовой книжки для получения государственных услуг;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Новые возможности аналитической обработки данных о трудовой деятельности для работодателей и госорганов;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Высокий уровень безопасности и сохранности данных.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Как уже сообщалось ранее, с 1 января 2020 года в Российской Федерации начался переход на электронные трудовые книжки. 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версию.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drawing>
          <wp:inline distT="0" distB="0" distL="0" distR="0">
            <wp:extent cx="4712970" cy="3244215"/>
            <wp:effectExtent l="0" t="0" r="0" b="0"/>
            <wp:docPr id="1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2020-08-20T14:44:24Z</dcterms:modified>
  <cp:revision>1</cp:revision>
</cp:coreProperties>
</file>