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1" w:rsidRDefault="00153081" w:rsidP="00153081">
      <w:pPr>
        <w:widowControl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53081" w:rsidRDefault="00153081" w:rsidP="00153081">
      <w:pPr>
        <w:widowControl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3081" w:rsidRDefault="00153081" w:rsidP="00153081">
      <w:pPr>
        <w:widowControl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</w:t>
      </w:r>
    </w:p>
    <w:p w:rsidR="00153081" w:rsidRPr="00DD5B98" w:rsidRDefault="00153081" w:rsidP="00153081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Pr="00DD5B9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D5B9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</w:p>
    <w:p w:rsidR="00153081" w:rsidRDefault="00153081" w:rsidP="00153081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p w:rsidR="00153081" w:rsidRDefault="00153081" w:rsidP="00153081">
      <w:pPr>
        <w:pStyle w:val="ConsPlusNormal"/>
        <w:spacing w:line="192" w:lineRule="auto"/>
        <w:ind w:left="4535" w:firstLine="0"/>
        <w:outlineLvl w:val="1"/>
        <w:rPr>
          <w:sz w:val="28"/>
        </w:rPr>
      </w:pPr>
      <w:r>
        <w:rPr>
          <w:sz w:val="28"/>
        </w:rPr>
        <w:t>_</w:t>
      </w:r>
    </w:p>
    <w:p w:rsidR="00153081" w:rsidRPr="00DB020A" w:rsidRDefault="00153081" w:rsidP="00153081">
      <w:pPr>
        <w:pStyle w:val="ConsPlusNormal"/>
        <w:ind w:firstLine="0"/>
        <w:jc w:val="center"/>
        <w:rPr>
          <w:b/>
        </w:rPr>
      </w:pPr>
      <w:r w:rsidRPr="00F16575">
        <w:rPr>
          <w:b/>
          <w:sz w:val="28"/>
        </w:rPr>
        <w:t xml:space="preserve">Критерии отнесения объектов контроля </w:t>
      </w:r>
      <w:r w:rsidRPr="00F16575">
        <w:rPr>
          <w:b/>
          <w:color w:val="000000"/>
          <w:sz w:val="28"/>
        </w:rPr>
        <w:t>к категориям риска в рамках осуществления муниципального земельного контроля</w:t>
      </w:r>
      <w:r w:rsidRPr="00DB020A">
        <w:rPr>
          <w:color w:val="FF0000"/>
        </w:rPr>
        <w:t xml:space="preserve"> </w:t>
      </w:r>
    </w:p>
    <w:p w:rsidR="00153081" w:rsidRPr="00161B02" w:rsidRDefault="00153081" w:rsidP="00153081">
      <w:pPr>
        <w:pStyle w:val="ConsPlusNormal"/>
        <w:ind w:firstLine="0"/>
        <w:jc w:val="center"/>
        <w:rPr>
          <w:color w:val="000000"/>
          <w:shd w:val="clear" w:color="auto" w:fill="F1C100"/>
        </w:rPr>
      </w:pP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1.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>К категории среднего риска относятся: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б) земельные участки, предназначенные для гаражного </w:t>
      </w:r>
      <w:r w:rsidRPr="00651BF5">
        <w:rPr>
          <w:rFonts w:ascii="Times New Roman" w:hAnsi="Times New Roman"/>
          <w:color w:val="auto"/>
          <w:sz w:val="28"/>
          <w:szCs w:val="28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2.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 xml:space="preserve">К категории умеренного риска относятся земельные участки </w:t>
      </w:r>
      <w:r w:rsidRPr="00651BF5">
        <w:rPr>
          <w:rFonts w:ascii="Times New Roman" w:hAnsi="Times New Roman"/>
          <w:color w:val="auto"/>
          <w:sz w:val="28"/>
          <w:szCs w:val="28"/>
        </w:rPr>
        <w:br/>
        <w:t>со следующими видами разрешенного использования: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а) сельскохозяйственное использование (код 1.0); 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в) рынки (код 4.3);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г) магазины (код 4.4);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д) общественное питание (код 4.6);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е) гостиничное обслуживание (код 4.7);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ж) объекты дорожного сервиса (код 4.9.1);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з) тяжелая промышленность (код 6.2); 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и) легкая промышленность (код 6.3);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к) фармацевтическая промышленность (код 6.3.1);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л) пищевая промышленность (код 6.4);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м) нефтехимическая промышленность (код 6.5);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н) строительная промышленность (код 6.6);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о) энергетика (код 6.7);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п) склады (код 6.9);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р) целлюлозно-бумажная промышленность (код 6.11);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с) автомобильный транспорт (код 7.2);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т) ведение садоводства (код 13.2);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у) ведение огородничества (код 13.1);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51BF5">
        <w:rPr>
          <w:rFonts w:ascii="Times New Roman" w:hAnsi="Times New Roman"/>
          <w:color w:val="auto"/>
          <w:sz w:val="28"/>
          <w:szCs w:val="28"/>
        </w:rPr>
        <w:t xml:space="preserve">ф) граничащие с земельными участками с видами разрешенного использования: </w:t>
      </w:r>
      <w:proofErr w:type="gramEnd"/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сельскохозяйственное использование (код 1.0);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питомники (код 1.17);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природно-познавательный туризм (код 5.2);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lastRenderedPageBreak/>
        <w:t xml:space="preserve">деятельность по особой охране и изучению природы (код 9.0); 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охрана природных территорий (код 9.1);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курортная деятельность (код 9.2);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санаторная деятельность (код 9.2.1);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резервные леса (код 10.4);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общее пользование водными объектами (код 11.1);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гидротехнические сооружения (код 11.3);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ведение огородничества (код 13.1); 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ведение садоводства (код 13.2).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3.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>К категории низкого риска относят</w:t>
      </w:r>
      <w:r>
        <w:rPr>
          <w:rFonts w:ascii="Times New Roman" w:hAnsi="Times New Roman"/>
          <w:color w:val="auto"/>
          <w:sz w:val="28"/>
          <w:szCs w:val="28"/>
        </w:rPr>
        <w:t xml:space="preserve">ся все иные земельные участки, </w:t>
      </w:r>
      <w:r w:rsidRPr="00651BF5">
        <w:rPr>
          <w:rFonts w:ascii="Times New Roman" w:hAnsi="Times New Roman"/>
          <w:color w:val="auto"/>
          <w:sz w:val="28"/>
          <w:szCs w:val="28"/>
        </w:rPr>
        <w:t>не отнесенные к категориям среднего или умеренного риска.</w:t>
      </w:r>
    </w:p>
    <w:p w:rsidR="00153081" w:rsidRPr="00651BF5" w:rsidRDefault="00153081" w:rsidP="001530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081" w:rsidRPr="00651BF5" w:rsidRDefault="00153081" w:rsidP="00153081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53081" w:rsidRPr="00651BF5" w:rsidRDefault="00153081" w:rsidP="00153081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53081" w:rsidRPr="00651BF5" w:rsidRDefault="00153081" w:rsidP="00153081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53081" w:rsidRPr="00651BF5" w:rsidRDefault="00153081" w:rsidP="00153081">
      <w:pPr>
        <w:pStyle w:val="ConsPlusNormal"/>
        <w:jc w:val="center"/>
        <w:rPr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153081" w:rsidRDefault="00153081" w:rsidP="00153081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E46AE0" w:rsidRDefault="00E46AE0">
      <w:bookmarkStart w:id="0" w:name="_GoBack"/>
      <w:bookmarkEnd w:id="0"/>
    </w:p>
    <w:sectPr w:rsidR="00E4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D"/>
    <w:rsid w:val="00153081"/>
    <w:rsid w:val="004A68AD"/>
    <w:rsid w:val="00E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530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530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153081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153081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530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530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153081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153081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Радайкина</dc:creator>
  <cp:keywords/>
  <dc:description/>
  <cp:lastModifiedBy>Екатерина Радайкина</cp:lastModifiedBy>
  <cp:revision>2</cp:revision>
  <dcterms:created xsi:type="dcterms:W3CDTF">2022-01-20T08:40:00Z</dcterms:created>
  <dcterms:modified xsi:type="dcterms:W3CDTF">2022-01-20T08:41:00Z</dcterms:modified>
</cp:coreProperties>
</file>