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3DA0">
        <w:rPr>
          <w:rFonts w:ascii="Times New Roman" w:hAnsi="Times New Roman" w:cs="Times New Roman"/>
          <w:b/>
          <w:sz w:val="28"/>
          <w:szCs w:val="28"/>
        </w:rPr>
        <w:t>Упрощен доступ к господдержке для участников международных выставок</w:t>
      </w:r>
    </w:p>
    <w:bookmarkEnd w:id="0"/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Постановление Правительства РФ от 22.09.2021 № 1591 упростило для экспортеров процесс оформления заявки на получение федеральных субсидий. Эти деньги могут быть потрачены на компенсацию затрат на участие в международных проектах: на аренду площадки, необходимой мебели и оборудования, а также на оплату регистрационных сборов. Теперь подать заявку можно онлайн через информационную систему «Одно окно».</w:t>
      </w:r>
    </w:p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Уже сейчас экспортеры могут с помощью системы отправить заявку на подтверждение нулевой ставки НДС или направить заявление на участие в выставках, получить сертификат свободной продажи.</w:t>
      </w:r>
    </w:p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 xml:space="preserve">Субсидии на участие в международных выставках и ярмарках компании и ИП получают с 2021 года. Размер господдержки по каждому мероприятию для малого и среднего бизнеса составляет 700 000 руб., а для крупного — 2 </w:t>
      </w:r>
      <w:proofErr w:type="gramStart"/>
      <w:r w:rsidRPr="00853DA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53DA0">
        <w:rPr>
          <w:rFonts w:ascii="Times New Roman" w:hAnsi="Times New Roman" w:cs="Times New Roman"/>
          <w:sz w:val="28"/>
          <w:szCs w:val="28"/>
        </w:rPr>
        <w:t xml:space="preserve"> руб. В течение года доступны субсидии на возмещение затрат по трем мероприятиям.</w:t>
      </w:r>
    </w:p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Действует «зонтичный» механизм для получения заёмного финансирования</w:t>
      </w:r>
    </w:p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«Зонтичный» механизм предоставления поручительств позволит бизнесу получать кредиты и снижать конечные процентные ставки по ним. Поручительство будет обеспечивать до 50 % от суммы кредита, а предприниматель сможет получить его в «одном окне» банка.</w:t>
      </w:r>
    </w:p>
    <w:p w:rsidR="00853DA0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B4A" w:rsidRPr="00853DA0" w:rsidRDefault="00853DA0" w:rsidP="0085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Оплата комиссии за поручительство возложена не на предпринимателя, а на банк. Заёмщики со средним риском смогут увеличить объем привлеченных средств за счет поручительств и высвободить залоги, с низким риском — получить кредитные средства в среднем ниже на 1–2 %.</w:t>
      </w:r>
    </w:p>
    <w:sectPr w:rsidR="00CD3B4A" w:rsidRPr="0085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B7"/>
    <w:rsid w:val="00853DA0"/>
    <w:rsid w:val="00CD3B4A"/>
    <w:rsid w:val="00D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2022-01-25T11:46:00Z</dcterms:created>
  <dcterms:modified xsi:type="dcterms:W3CDTF">2022-01-25T11:47:00Z</dcterms:modified>
</cp:coreProperties>
</file>