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881_1456385926"/>
      <w:bookmarkEnd w:id="0"/>
      <w:r>
        <w:rPr>
          <w:rFonts w:ascii="Times New Roman" w:hAnsi="Times New Roman"/>
          <w:sz w:val="24"/>
          <w:szCs w:val="24"/>
          <w:lang w:val="ru-RU"/>
        </w:rPr>
        <w:t>Направить материнский капитал на накопительную пенсию можно дистанционно</w:t>
      </w:r>
    </w:p>
    <w:p>
      <w:pPr>
        <w:pStyle w:val="Style13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Распорядиться материнским капиталом на накопительную пенсию мамы можно, когда ребенку, в связи с рождением (усыновлением) которого возникло право на дополнительные меры государственной поддержки, исполнится </w:t>
      </w:r>
      <w:r>
        <w:rPr>
          <w:rStyle w:val="Style11"/>
          <w:rFonts w:ascii="Times New Roman" w:hAnsi="Times New Roman"/>
          <w:sz w:val="24"/>
          <w:szCs w:val="24"/>
        </w:rPr>
        <w:t>три года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3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Заявление на распоряжение средствами материнского (семейного) капитала можно подать дистанционно: через </w:t>
      </w:r>
      <w:r>
        <w:rPr>
          <w:rStyle w:val="Style11"/>
          <w:rFonts w:ascii="Times New Roman" w:hAnsi="Times New Roman"/>
          <w:sz w:val="24"/>
          <w:szCs w:val="24"/>
        </w:rPr>
        <w:t>личный кабинет на сайте ПФР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Style w:val="Style11"/>
          <w:rFonts w:ascii="Times New Roman" w:hAnsi="Times New Roman"/>
          <w:sz w:val="24"/>
          <w:szCs w:val="24"/>
        </w:rPr>
        <w:t>портале Госуслуг.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Средства материнского капитала переводят на индивидуальный накопительный счет женщины. Когда она достигнет пенсионного возраста, то сможет получить эти средства: в виде срочной пенсионной выплаты, в виде накопительной пенсии или в виде единовременной выплаты.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Где хранить капитал, отложенный на пенсию, решает мама. Можно оставить его в Государственном Пенсионном фонде, можно перевести в негосударственный пенсионный фонд (НПФ).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В любой момент до назначения пенсии мама можно изменить свой выбор для распоряжения средствами МСК по другим направлениям.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858135" cy="2858135"/>
            <wp:effectExtent l="0" t="0" r="0" b="0"/>
            <wp:wrapSquare wrapText="largest"/>
            <wp:docPr id="1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2021-06-17T12:06:29Z</dcterms:created>
  <dc:language>ru-RU</dc:language>
  <dcterms:modified xsi:type="dcterms:W3CDTF">2021-06-17T12:07:27Z</dcterms:modified>
  <cp:revision>1</cp:revision>
</cp:coreProperties>
</file>