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_DdeLink__878_1456385926"/>
      <w:bookmarkEnd w:id="0"/>
      <w:r>
        <w:rPr>
          <w:rFonts w:ascii="Times New Roman" w:hAnsi="Times New Roman"/>
          <w:sz w:val="24"/>
          <w:szCs w:val="24"/>
          <w:lang w:val="ru-RU"/>
        </w:rPr>
        <w:t>Как оформить СНИЛС иностранному гражданину</w:t>
      </w:r>
    </w:p>
    <w:p>
      <w:pPr>
        <w:pStyle w:val="Style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каждого гражданина Российской Федерации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счёта (СНИЛС).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в системе ПУ подлежат также иностранные граждане и лица без гражданства: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постоянно или временно проживающие на территории Российской Федерации;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временно пребывающие на территории Российской Федерации.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СНИЛС иностранному гражданину (лицу без гражданства) необходимо иметь документ, удостоверяющий личность (паспорт или вид на жительство).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Зарегистрироваться в системе ПУ иностранный гражданин может через своего работодателя, самостоятельно в любом территориальном органе ПФР, либо подать заявление через МФЦ.</w:t>
      </w:r>
    </w:p>
    <w:p>
      <w:pPr>
        <w:pStyle w:val="Style12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территориальный орган ПФР регистрация в системе ПУ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указан СНИЛС.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2021-06-17T12:05:37Z</dcterms:created>
  <dc:language>ru-RU</dc:language>
  <dcterms:modified xsi:type="dcterms:W3CDTF">2021-06-17T12:06:22Z</dcterms:modified>
  <cp:revision>1</cp:revision>
</cp:coreProperties>
</file>