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/>
      </w:pPr>
      <w:bookmarkStart w:id="0" w:name="__DdeLink__917_543829469"/>
      <w:r>
        <w:rPr>
          <w:rFonts w:ascii="Times New Roman" w:hAnsi="Times New Roman"/>
          <w:b/>
          <w:bCs/>
          <w:sz w:val="24"/>
          <w:szCs w:val="24"/>
          <w:lang w:val="ru-RU"/>
        </w:rPr>
        <w:t>Направить материнский капитал на улучшение жилищных условий</w:t>
      </w:r>
    </w:p>
    <w:p>
      <w:pPr>
        <w:pStyle w:val="Style12"/>
        <w:spacing w:lineRule="auto" w:line="288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можно прямо через банк.</w:t>
      </w:r>
    </w:p>
    <w:p>
      <w:pPr>
        <w:pStyle w:val="Style12"/>
        <w:spacing w:lineRule="auto" w:line="288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/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УПФР в Краснослободском муниципальном районе РМ (межрайонное) 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оформлялось), а также семьи, в которых начиная с 1 января 2020 года появился первый ребенок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Самым популярным направлением расходования средств материнского капитала в Мордовии, как и по всей стране, остается улучшение жилищных условий.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Распорядиться материнским капиталом на данное направление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Направить средства маткапитала на улучшение жилищных условий стало еще проще. С середины апреля прошлого года у граждан появилась возможность подать заявление об оплате средствами материнского капитала кредита на покупку или строительство жилья сразу в банке (включая оплату первичного взноса по кредиту).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 какое именно улучшения жилищных условий можно направить средства материнского капитала: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приобретение жилого помещения;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компенсация затрат за построенный или реконструированный объект индивидуального жилищного строительства;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уплата цены по договору участия в долевом строительстве;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Важно!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Вся полезная информация, в том числе перечень необходимых документов и сроки перечисления средств, сведения о том, с кем можно заключить договор займа на приобретение или строительство жилья, а также об аннулировании заявления о распоряжении средствами материнского (семейного) капитала на улучшение жилищных условий, находится на официальном сайте ПФР в разделе «Гражданам» – «Материнский капитал».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2021-02-19T14:50:54Z</dcterms:created>
  <dc:language>ru-RU</dc:language>
  <dcterms:modified xsi:type="dcterms:W3CDTF">2021-02-19T14:57:25Z</dcterms:modified>
  <cp:revision>2</cp:revision>
</cp:coreProperties>
</file>