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/>
      </w:pPr>
      <w:r>
        <w:rPr>
          <w:rStyle w:val="Style11"/>
          <w:rFonts w:ascii="Liberation Sans" w:hAnsi="Liberation Sans"/>
        </w:rPr>
        <w:t>Материнский (семейный) капитал</w:t>
      </w:r>
      <w:r>
        <w:rPr>
          <w:rFonts w:ascii="Liberation Sans" w:hAnsi="Liberation Sans"/>
        </w:rPr>
        <w:t xml:space="preserve"> – это мера государственной поддержки российских семей,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</w:t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Семьи, в которых начиная с 1 января 2020 года появился первый ребенок, также имеют право на материнский капитал. Для семей, в которых с 2020 года появился второй ребенок, материнский капитал дополнительно увеличивается на 155 550 рублей. Для семей, в которых после 1 января 2020 года родился третий ребенок или последующие дети, материнский (семейный) капитал устанавливается в размере 639 431 руб. 83 коп в случае, если ранее право на дополнительные меры государственной поддержки семей, имеющих детей, не возникало.</w:t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-222250</wp:posOffset>
            </wp:positionH>
            <wp:positionV relativeFrom="paragraph">
              <wp:posOffset>373380</wp:posOffset>
            </wp:positionV>
            <wp:extent cx="3392805" cy="1648460"/>
            <wp:effectExtent l="0" t="0" r="0" b="0"/>
            <wp:wrapSquare wrapText="largest"/>
            <wp:docPr id="1" name="Изображение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-107315</wp:posOffset>
            </wp:positionH>
            <wp:positionV relativeFrom="paragraph">
              <wp:posOffset>335915</wp:posOffset>
            </wp:positionV>
            <wp:extent cx="3403600" cy="1654175"/>
            <wp:effectExtent l="0" t="0" r="0" b="0"/>
            <wp:wrapSquare wrapText="largest"/>
            <wp:docPr id="2" name="Изображение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spacing w:before="0" w:after="1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-37465</wp:posOffset>
            </wp:positionH>
            <wp:positionV relativeFrom="paragraph">
              <wp:posOffset>419735</wp:posOffset>
            </wp:positionV>
            <wp:extent cx="3275965" cy="1591310"/>
            <wp:effectExtent l="0" t="0" r="0" b="0"/>
            <wp:wrapSquare wrapText="largest"/>
            <wp:docPr id="3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2021-01-28T16:48:41Z</dcterms:modified>
  <cp:revision>1</cp:revision>
</cp:coreProperties>
</file>