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t>Семьи могут выбирать, как использовать средства материнского капитала.</w:t>
      </w:r>
    </w:p>
    <w:p>
      <w:pPr>
        <w:pStyle w:val="Normal"/>
        <w:jc w:val="both"/>
        <w:rPr/>
      </w:pPr>
      <w:r>
        <w:rPr/>
        <w:t xml:space="preserve">Как получить материнский капитал, читайте на сайте ПФР: </w:t>
      </w:r>
      <w:hyperlink r:id="rId2" w:tgtFrame="_blank">
        <w:r>
          <w:rPr>
            <w:rStyle w:val="Style11"/>
          </w:rPr>
          <w:t>https://pfr.gov.ru/grazhdanam/msk/get_certificate/</w:t>
        </w:r>
      </w:hyperlink>
      <w:r>
        <w:rPr/>
        <w:t xml:space="preserve">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-43180</wp:posOffset>
            </wp:positionH>
            <wp:positionV relativeFrom="paragraph">
              <wp:posOffset>85725</wp:posOffset>
            </wp:positionV>
            <wp:extent cx="3447415" cy="3447415"/>
            <wp:effectExtent l="0" t="0" r="0" b="0"/>
            <wp:wrapSquare wrapText="largest"/>
            <wp:docPr id="1" name="Изображение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9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415" cy="3447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2282190</wp:posOffset>
            </wp:positionH>
            <wp:positionV relativeFrom="paragraph">
              <wp:posOffset>78740</wp:posOffset>
            </wp:positionV>
            <wp:extent cx="3426460" cy="3426460"/>
            <wp:effectExtent l="0" t="0" r="0" b="0"/>
            <wp:wrapSquare wrapText="largest"/>
            <wp:docPr id="2" name="Изображение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0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60" cy="3426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s%3A%2F%2Fpfr.gov.ru%2Fgrazhdanam%2Fmsk%2Fget_certificate%2F&amp;post=-37475973_4553&amp;cc_key=" TargetMode="External"/><Relationship Id="rId3" Type="http://schemas.openxmlformats.org/officeDocument/2006/relationships/image" Target="media/image1.jpeg"/><Relationship Id="rId4" Type="http://schemas.openxmlformats.org/officeDocument/2006/relationships/image" Target="media/image2.jpe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2021-02-24T10:40:26Z</dcterms:created>
  <dc:language>ru-RU</dc:language>
  <dcterms:modified xsi:type="dcterms:W3CDTF">2021-02-26T16:16:57Z</dcterms:modified>
  <cp:revision>1</cp:revision>
</cp:coreProperties>
</file>