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 xml:space="preserve">О распоряжении средствами материнского (семейного) капитала через кредитные организации </w:t>
      </w:r>
    </w:p>
    <w:p>
      <w:pPr>
        <w:pStyle w:val="Style12"/>
        <w:jc w:val="both"/>
        <w:rPr/>
      </w:pPr>
      <w:r>
        <w:rPr/>
        <w:t>Отделения Пенсионного фонда России по всей стране проводят работу по заключению соглашений об информационном обмене с кредитными организации (банками), для того чтобы семьи могли распоряжаться материнским капиталом на улучшение жилищных условий непосредственно через кредитные организации, не обращаясь в органы Пенсионного фонда.</w:t>
      </w:r>
    </w:p>
    <w:p>
      <w:pPr>
        <w:pStyle w:val="Style12"/>
        <w:jc w:val="both"/>
        <w:rPr/>
      </w:pPr>
      <w:r>
        <w:rPr/>
        <w:t>Владельцы сертификата могут обратиться в банки, заключившие соглашения с Пенсионным фондом, и одновременно с оформлением кредита на покупку или строительство жилья подать через банки заявление об оплате материнским капиталом основного долга и процентов по кредиту, оформленному на приобретение либо строительство жилья, либо на оплату первоначального взноса при получении такого кредита. То есть вместо двух обращений – в банк и Пенсионный фонд – семье теперь достаточно обратиться только в банк.</w:t>
      </w:r>
    </w:p>
    <w:p>
      <w:pPr>
        <w:pStyle w:val="Style12"/>
        <w:jc w:val="both"/>
        <w:rPr/>
      </w:pPr>
      <w:r>
        <w:rPr/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>
      <w:pPr>
        <w:pStyle w:val="Style12"/>
        <w:spacing w:before="0" w:after="140"/>
        <w:jc w:val="both"/>
        <w:rPr/>
      </w:pPr>
      <w:r>
        <w:rPr/>
        <w:t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2021-03-29T15:57:14Z</dcterms:created>
  <dc:language>ru-RU</dc:language>
  <dcterms:modified xsi:type="dcterms:W3CDTF">2021-03-29T16:05:44Z</dcterms:modified>
  <cp:revision>1</cp:revision>
</cp:coreProperties>
</file>