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(межрайонное) напоминает, что с</w:t>
      </w:r>
      <w:r>
        <w:rPr>
          <w:rFonts w:ascii="Times New Roman" w:hAnsi="Times New Roman"/>
        </w:rPr>
        <w:t xml:space="preserve"> 1 января 2020 года в России введена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сохранять бумажную книжку столько, сколько это необходимо.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трудовая книжка не предполагает физического носителя и будет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Просмотреть сведения электронной трудовой книжки застрахованные лица могут также через Личный кабинет гражданина или портал Госуслуг, а также через соответствующие приложения для смартфонов.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госуслуг (МФЦ). Услуга предоставляется экстерриториально, без привязки к месту жительства или работы человека.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57880" cy="3357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2021-03-11T15:00:43Z</dcterms:created>
  <dc:language>ru-RU</dc:language>
  <dcterms:modified xsi:type="dcterms:W3CDTF">2021-03-15T12:32:53Z</dcterms:modified>
  <cp:revision>1</cp:revision>
</cp:coreProperties>
</file>