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B85C11" w:rsidRDefault="007F3296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Троицкого</w:t>
      </w:r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Default="00E16CD3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 xml:space="preserve">03.03.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№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B85C11" w:rsidRPr="000D0017" w:rsidRDefault="00B85C11" w:rsidP="00B85C11"/>
    <w:p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0436FE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D85437" w:rsidRPr="00D85437" w:rsidRDefault="00B85C11" w:rsidP="00D8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3296"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85C11" w:rsidRPr="00B85C11" w:rsidRDefault="00B85C11" w:rsidP="00B85C11">
      <w:pPr>
        <w:rPr>
          <w:lang w:eastAsia="ru-RU"/>
        </w:rPr>
      </w:pPr>
    </w:p>
    <w:p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7F3296">
        <w:rPr>
          <w:rFonts w:ascii="Times New Roman" w:hAnsi="Times New Roman"/>
          <w:sz w:val="28"/>
          <w:szCs w:val="28"/>
        </w:rPr>
        <w:t>Троицкого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 w:rsidR="00471D85"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7F3296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7F3296">
        <w:rPr>
          <w:rFonts w:ascii="Times New Roman" w:hAnsi="Times New Roman"/>
          <w:sz w:val="28"/>
          <w:szCs w:val="28"/>
        </w:rPr>
        <w:t>Троицкого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7F3296">
        <w:rPr>
          <w:rFonts w:ascii="Times New Roman" w:hAnsi="Times New Roman"/>
          <w:sz w:val="28"/>
          <w:szCs w:val="28"/>
        </w:rPr>
        <w:t>Троицкого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:rsidR="00B85C11" w:rsidRPr="00B85C11" w:rsidRDefault="00B85C11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</w:t>
      </w:r>
      <w:r w:rsidR="007F3296">
        <w:rPr>
          <w:rFonts w:ascii="Times New Roman" w:hAnsi="Times New Roman"/>
          <w:sz w:val="28"/>
          <w:szCs w:val="28"/>
        </w:rPr>
        <w:t xml:space="preserve"> </w:t>
      </w:r>
      <w:r w:rsidR="004F6CFA" w:rsidRPr="00C66134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7F3296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 w:rsidR="007F3296">
        <w:rPr>
          <w:rFonts w:ascii="Times New Roman" w:hAnsi="Times New Roman"/>
          <w:sz w:val="28"/>
          <w:szCs w:val="28"/>
        </w:rPr>
        <w:t xml:space="preserve">Троицкого </w:t>
      </w:r>
      <w:r w:rsidR="00471D85" w:rsidRPr="00471D85">
        <w:rPr>
          <w:rFonts w:ascii="Times New Roman" w:hAnsi="Times New Roman"/>
          <w:sz w:val="28"/>
          <w:szCs w:val="28"/>
        </w:rPr>
        <w:t>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B85C11" w:rsidRDefault="00B85C11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7F3296">
        <w:rPr>
          <w:rFonts w:ascii="Times New Roman" w:hAnsi="Times New Roman"/>
          <w:sz w:val="28"/>
          <w:szCs w:val="28"/>
        </w:rPr>
        <w:t>Троицкого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:rsidR="00C66134" w:rsidRDefault="00C66134" w:rsidP="00B85C11">
      <w:pPr>
        <w:jc w:val="both"/>
        <w:rPr>
          <w:rFonts w:ascii="Times New Roman" w:hAnsi="Times New Roman"/>
          <w:sz w:val="28"/>
          <w:szCs w:val="28"/>
        </w:rPr>
      </w:pPr>
    </w:p>
    <w:p w:rsidR="00B85C11" w:rsidRPr="003B3CAB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 w:rsidR="007F3296"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Ковылкинского муниципальног</w:t>
      </w:r>
      <w:r w:rsidR="007F3296">
        <w:rPr>
          <w:rFonts w:ascii="Times New Roman" w:hAnsi="Times New Roman"/>
          <w:b/>
          <w:sz w:val="28"/>
          <w:szCs w:val="28"/>
        </w:rPr>
        <w:t>о района                          В.И. Мельников</w:t>
      </w:r>
    </w:p>
    <w:p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FB58F4" w:rsidRPr="00D7175F" w:rsidTr="00FB58F4">
        <w:tc>
          <w:tcPr>
            <w:tcW w:w="4395" w:type="dxa"/>
            <w:hideMark/>
          </w:tcPr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36F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58F4" w:rsidRPr="00D7175F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FB58F4" w:rsidRPr="00D7175F" w:rsidRDefault="00B0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471D85" w:rsidRDefault="007F32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Троицкого</w:t>
            </w:r>
            <w:r w:rsidR="00471D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58F4" w:rsidRPr="00D7175F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FB58F4" w:rsidRPr="00D7175F" w:rsidRDefault="00B04ACE" w:rsidP="007F32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F3296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F32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="00FB58F4" w:rsidRPr="00D7175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F3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58F4" w:rsidRPr="00D7175F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2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36F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FB58F4" w:rsidRPr="00D7175F" w:rsidRDefault="007F3296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B58F4" w:rsidP="00B04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471D85"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3"/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FB58F4" w:rsidRPr="00B04ACE" w:rsidRDefault="00FB58F4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Мордовия от 15 февраля 2007 г. № 15-З «О местном референдуме в Республике Мордовия», другими федеральными законами 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F026F8" w:rsidRPr="00B04ACE" w:rsidRDefault="00FB58F4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:rsidR="00F026F8" w:rsidRPr="00B04ACE" w:rsidRDefault="00C6596F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471D85"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:rsidR="00F026F8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FB58F4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день, на который переносится голосование на местном референдуме.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5"/>
    </w:p>
    <w:p w:rsidR="00FB58F4" w:rsidRPr="00B04ACE" w:rsidRDefault="000C0F31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Назначение, подготовка и проведение схода граждан</w:t>
      </w:r>
      <w:bookmarkEnd w:id="2"/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FB58F4" w:rsidRPr="00DD1B3C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содержать информацию, указанную в пункте 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:rsidR="00C73DF6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D1B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3B402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Положения,  принимается Советом депутатов в сроки, установленные пунктом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:rsidR="00DD1B3C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D1B3C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73DF6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8F4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фамилии, имена, отчества председательствующего  на данном сходе, секретаря и членов комиссии, а также информаци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вопрос, выносимый на сход граждан, содержащий информацию, указанную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FB58F4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B04ACE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B04ACE">
        <w:rPr>
          <w:rFonts w:ascii="Times New Roman" w:hAnsi="Times New Roman"/>
          <w:sz w:val="28"/>
          <w:szCs w:val="28"/>
          <w:lang w:eastAsia="ru-RU"/>
        </w:rPr>
        <w:t>ином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B04ACE">
        <w:rPr>
          <w:rFonts w:ascii="Times New Roman" w:hAnsi="Times New Roman"/>
          <w:sz w:val="28"/>
          <w:szCs w:val="28"/>
          <w:lang w:eastAsia="ru-RU"/>
        </w:rPr>
        <w:t>2.22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Тайное голосование проводится  в помещени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комиссией не позднее чем за 20 дней до дня голосования. Текст бюллетеня должен быть размещен только на одной его стороне.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B04ACE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:rsidR="007A7B49" w:rsidRPr="00B04ACE" w:rsidRDefault="007A7B49" w:rsidP="00B04ACE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7A7B4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 и сбор средств самообложения граждан</w:t>
      </w:r>
      <w:bookmarkEnd w:id="3"/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FB58F4" w:rsidRPr="00B04ACE" w:rsidRDefault="00FB58F4" w:rsidP="00B04AC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4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04ACE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B04ACE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7F3296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Pr="00B04AC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FB58F4" w:rsidRPr="00B04ACE" w:rsidRDefault="00FB58F4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37E52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Использование средств самообложения граждан</w:t>
      </w:r>
      <w:bookmarkEnd w:id="4"/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FB58F4" w:rsidRPr="00B04ACE" w:rsidRDefault="00FB58F4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37E52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10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за использованием средств самообложения граждан</w:t>
      </w:r>
      <w:bookmarkEnd w:id="5"/>
    </w:p>
    <w:p w:rsidR="00FB58F4" w:rsidRPr="00B04ACE" w:rsidRDefault="00FB58F4" w:rsidP="00B04ACE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771309" w:rsidRDefault="00771309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96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7F3296" w:rsidTr="001C6A08">
        <w:tc>
          <w:tcPr>
            <w:tcW w:w="4395" w:type="dxa"/>
            <w:shd w:val="clear" w:color="auto" w:fill="auto"/>
          </w:tcPr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7F3296" w:rsidRPr="00431FF7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7F3296" w:rsidRDefault="007F3296" w:rsidP="007F329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3296" w:rsidRDefault="007F3296" w:rsidP="007F3296">
      <w:pPr>
        <w:spacing w:after="271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7F3296" w:rsidRDefault="007F3296" w:rsidP="007F3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7F3296" w:rsidRDefault="007F3296" w:rsidP="007F329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AA9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</w:t>
      </w:r>
      <w:r w:rsidRPr="00B94AA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F3296" w:rsidRDefault="007F3296" w:rsidP="007F3296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296" w:rsidRDefault="007F3296" w:rsidP="007F3296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Мы,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нижеподписавшиеся,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выступаем с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инициатив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оведения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схода граждан«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ода.</w:t>
      </w:r>
    </w:p>
    <w:p w:rsidR="007F3296" w:rsidRDefault="007F3296" w:rsidP="007F3296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7F3296" w:rsidRPr="00A33B8B" w:rsidTr="001C6A08">
        <w:tc>
          <w:tcPr>
            <w:tcW w:w="540" w:type="dxa"/>
            <w:shd w:val="clear" w:color="auto" w:fill="auto"/>
            <w:vAlign w:val="center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46B"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680"/>
        </w:trPr>
        <w:tc>
          <w:tcPr>
            <w:tcW w:w="540" w:type="dxa"/>
            <w:shd w:val="clear" w:color="auto" w:fill="auto"/>
          </w:tcPr>
          <w:p w:rsidR="007F3296" w:rsidRPr="00A33B8B" w:rsidRDefault="007F3296" w:rsidP="007F329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7F3296" w:rsidRPr="00A33B8B" w:rsidRDefault="007F3296" w:rsidP="001C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F3296" w:rsidRPr="00A33B8B" w:rsidRDefault="007F3296" w:rsidP="001C6A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3296" w:rsidRDefault="007F3296" w:rsidP="007F329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F3296" w:rsidRDefault="007F3296" w:rsidP="007F32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F3296" w:rsidSect="005F03C1">
          <w:pgSz w:w="11905" w:h="16837"/>
          <w:pgMar w:top="1184" w:right="848" w:bottom="993" w:left="1701" w:header="0" w:footer="3" w:gutter="0"/>
          <w:cols w:space="720"/>
          <w:noEndnote/>
          <w:docGrid w:linePitch="360"/>
        </w:sectPr>
      </w:pPr>
    </w:p>
    <w:tbl>
      <w:tblPr>
        <w:tblW w:w="4395" w:type="dxa"/>
        <w:jc w:val="right"/>
        <w:tblInd w:w="5211" w:type="dxa"/>
        <w:tblLook w:val="04A0"/>
      </w:tblPr>
      <w:tblGrid>
        <w:gridCol w:w="4395"/>
      </w:tblGrid>
      <w:tr w:rsidR="007F3296" w:rsidTr="001C6A08">
        <w:trPr>
          <w:jc w:val="right"/>
        </w:trPr>
        <w:tc>
          <w:tcPr>
            <w:tcW w:w="4395" w:type="dxa"/>
            <w:shd w:val="clear" w:color="auto" w:fill="auto"/>
          </w:tcPr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7F3296" w:rsidRPr="00431FF7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7F3296" w:rsidRDefault="007F3296" w:rsidP="007F329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ПОДПИСНОЙ ЛИСТ</w:t>
      </w: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7F3296" w:rsidRPr="00A33B8B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7F3296" w:rsidRPr="00D06B32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296" w:rsidRDefault="007F3296" w:rsidP="007F3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8"/>
      </w:tblGrid>
      <w:tr w:rsidR="007F3296" w:rsidRPr="00A33B8B" w:rsidTr="001C6A08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7F3296" w:rsidRPr="00A33B8B" w:rsidRDefault="007F3296" w:rsidP="001C6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схода граждан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«» 20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 (вопросам):</w:t>
            </w:r>
          </w:p>
        </w:tc>
      </w:tr>
      <w:tr w:rsidR="007F3296" w:rsidRPr="00A33B8B" w:rsidTr="001C6A08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7F3296" w:rsidRPr="00A33B8B" w:rsidRDefault="007F3296" w:rsidP="001C6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296" w:rsidRPr="00A33B8B" w:rsidTr="001C6A08">
        <w:trPr>
          <w:trHeight w:val="567"/>
        </w:trPr>
        <w:tc>
          <w:tcPr>
            <w:tcW w:w="13608" w:type="dxa"/>
            <w:shd w:val="clear" w:color="auto" w:fill="auto"/>
          </w:tcPr>
          <w:p w:rsidR="007F3296" w:rsidRDefault="007F3296" w:rsidP="001C6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D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(вопрос (вопросы) схода граждан)</w:t>
            </w:r>
          </w:p>
          <w:p w:rsidR="007F3296" w:rsidRPr="00012DB6" w:rsidRDefault="007F3296" w:rsidP="001C6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296" w:rsidRDefault="007F3296" w:rsidP="007F3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296" w:rsidRPr="000F2A92" w:rsidRDefault="007F3296" w:rsidP="007F3296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7F3296" w:rsidRPr="00F75193" w:rsidTr="001C6A08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296" w:rsidRDefault="007F3296" w:rsidP="007F3296">
      <w:pPr>
        <w:rPr>
          <w:sz w:val="12"/>
          <w:szCs w:val="12"/>
        </w:rPr>
      </w:pPr>
    </w:p>
    <w:tbl>
      <w:tblPr>
        <w:tblW w:w="14601" w:type="dxa"/>
        <w:tblInd w:w="108" w:type="dxa"/>
        <w:tblLook w:val="04A0"/>
      </w:tblPr>
      <w:tblGrid>
        <w:gridCol w:w="3719"/>
        <w:gridCol w:w="10882"/>
      </w:tblGrid>
      <w:tr w:rsidR="007F3296" w:rsidRPr="00F75193" w:rsidTr="001C6A08">
        <w:trPr>
          <w:trHeight w:val="567"/>
        </w:trPr>
        <w:tc>
          <w:tcPr>
            <w:tcW w:w="3719" w:type="dxa"/>
            <w:shd w:val="clear" w:color="auto" w:fill="auto"/>
          </w:tcPr>
          <w:p w:rsidR="007F3296" w:rsidRPr="00F75193" w:rsidRDefault="007F3296" w:rsidP="001C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  <w:shd w:val="clear" w:color="auto" w:fill="auto"/>
          </w:tcPr>
          <w:p w:rsidR="007F3296" w:rsidRPr="00F75193" w:rsidRDefault="007F3296" w:rsidP="001C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F75193" w:rsidTr="001C6A08">
        <w:tc>
          <w:tcPr>
            <w:tcW w:w="3719" w:type="dxa"/>
            <w:shd w:val="clear" w:color="auto" w:fill="auto"/>
          </w:tcPr>
          <w:p w:rsidR="007F3296" w:rsidRPr="00F75193" w:rsidRDefault="007F3296" w:rsidP="001C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296" w:rsidRDefault="007F3296" w:rsidP="007F3296">
      <w:pPr>
        <w:rPr>
          <w:sz w:val="12"/>
          <w:szCs w:val="12"/>
        </w:rPr>
        <w:sectPr w:rsidR="007F3296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Ind w:w="5211" w:type="dxa"/>
        <w:tblLook w:val="04A0"/>
      </w:tblPr>
      <w:tblGrid>
        <w:gridCol w:w="4395"/>
      </w:tblGrid>
      <w:tr w:rsidR="007F3296" w:rsidTr="001C6A08">
        <w:trPr>
          <w:jc w:val="right"/>
        </w:trPr>
        <w:tc>
          <w:tcPr>
            <w:tcW w:w="4395" w:type="dxa"/>
            <w:shd w:val="clear" w:color="auto" w:fill="auto"/>
          </w:tcPr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7F3296" w:rsidRPr="00431FF7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7F3296" w:rsidRDefault="007F3296" w:rsidP="007F329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7F3296" w:rsidRPr="0077712C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>о гражданах, имеющих право голосовать на сходе граждан</w:t>
      </w: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7F3296" w:rsidRPr="00A33B8B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7F3296" w:rsidRPr="00D06B32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296" w:rsidRPr="000F2A92" w:rsidRDefault="007F3296" w:rsidP="007F3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7F3296" w:rsidRPr="00F75193" w:rsidTr="001C6A08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296" w:rsidRDefault="007F3296" w:rsidP="007F3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296" w:rsidRPr="0077712C" w:rsidRDefault="007F3296" w:rsidP="007F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7"/>
        <w:gridCol w:w="2551"/>
        <w:gridCol w:w="387"/>
        <w:gridCol w:w="3015"/>
      </w:tblGrid>
      <w:tr w:rsidR="007F3296" w:rsidTr="001C6A08">
        <w:tc>
          <w:tcPr>
            <w:tcW w:w="3369" w:type="dxa"/>
            <w:tcBorders>
              <w:bottom w:val="single" w:sz="4" w:space="0" w:color="auto"/>
            </w:tcBorders>
          </w:tcPr>
          <w:p w:rsidR="007F3296" w:rsidRDefault="007F3296" w:rsidP="001C6A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96" w:rsidRPr="008A7AF3" w:rsidRDefault="007F3296" w:rsidP="001C6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Tr="001C6A08">
        <w:tc>
          <w:tcPr>
            <w:tcW w:w="3369" w:type="dxa"/>
            <w:tcBorders>
              <w:top w:val="single" w:sz="4" w:space="0" w:color="auto"/>
            </w:tcBorders>
          </w:tcPr>
          <w:p w:rsidR="007F3296" w:rsidRPr="0077712C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12C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/>
                <w:sz w:val="16"/>
                <w:szCs w:val="16"/>
              </w:rPr>
              <w:t xml:space="preserve"> инициалы)</w:t>
            </w:r>
          </w:p>
        </w:tc>
      </w:tr>
      <w:tr w:rsidR="007F3296" w:rsidTr="001C6A08">
        <w:tc>
          <w:tcPr>
            <w:tcW w:w="3369" w:type="dxa"/>
          </w:tcPr>
          <w:p w:rsidR="007F3296" w:rsidRDefault="007F3296" w:rsidP="001C6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296" w:rsidRPr="0077712C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96" w:rsidTr="001C6A08">
        <w:tc>
          <w:tcPr>
            <w:tcW w:w="3369" w:type="dxa"/>
          </w:tcPr>
          <w:p w:rsidR="007F3296" w:rsidRPr="0077712C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F3296" w:rsidRDefault="007F3296" w:rsidP="007F3296">
      <w:pPr>
        <w:spacing w:after="0" w:line="240" w:lineRule="auto"/>
      </w:pPr>
      <w:r>
        <w:br w:type="page"/>
      </w:r>
    </w:p>
    <w:tbl>
      <w:tblPr>
        <w:tblW w:w="4395" w:type="dxa"/>
        <w:jc w:val="right"/>
        <w:tblInd w:w="5211" w:type="dxa"/>
        <w:tblLook w:val="04A0"/>
      </w:tblPr>
      <w:tblGrid>
        <w:gridCol w:w="4395"/>
      </w:tblGrid>
      <w:tr w:rsidR="007F3296" w:rsidTr="001C6A08">
        <w:trPr>
          <w:jc w:val="right"/>
        </w:trPr>
        <w:tc>
          <w:tcPr>
            <w:tcW w:w="4395" w:type="dxa"/>
            <w:shd w:val="clear" w:color="auto" w:fill="auto"/>
          </w:tcPr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</w:p>
          <w:p w:rsidR="007F3296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7F3296" w:rsidRPr="00431FF7" w:rsidRDefault="007F3296" w:rsidP="001C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7F3296" w:rsidRDefault="007F3296" w:rsidP="007F329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3296" w:rsidRPr="0077712C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12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7F3296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гражданах, имеющих право присутствовать и принимать участие в обсуждении вопросовна сходе граждан </w:t>
      </w:r>
      <w:bookmarkStart w:id="6" w:name="_GoBack"/>
      <w:bookmarkEnd w:id="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7F3296" w:rsidRPr="00A33B8B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7F3296" w:rsidRPr="00D06B32" w:rsidRDefault="007F3296" w:rsidP="007F3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296" w:rsidRPr="000F2A92" w:rsidRDefault="007F3296" w:rsidP="007F3296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7F3296" w:rsidRPr="00F75193" w:rsidTr="001C6A08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RPr="003C2D12" w:rsidTr="001C6A08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296" w:rsidRPr="00F75193" w:rsidRDefault="007F3296" w:rsidP="001C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296" w:rsidRDefault="007F3296" w:rsidP="007F3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296" w:rsidRPr="0077712C" w:rsidRDefault="007F3296" w:rsidP="007F3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7"/>
        <w:gridCol w:w="2551"/>
        <w:gridCol w:w="387"/>
        <w:gridCol w:w="3015"/>
      </w:tblGrid>
      <w:tr w:rsidR="007F3296" w:rsidTr="001C6A08">
        <w:tc>
          <w:tcPr>
            <w:tcW w:w="3369" w:type="dxa"/>
            <w:tcBorders>
              <w:bottom w:val="single" w:sz="4" w:space="0" w:color="auto"/>
            </w:tcBorders>
          </w:tcPr>
          <w:p w:rsidR="007F3296" w:rsidRDefault="007F3296" w:rsidP="001C6A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296" w:rsidRPr="008A7AF3" w:rsidRDefault="007F3296" w:rsidP="001C6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96" w:rsidTr="001C6A08">
        <w:tc>
          <w:tcPr>
            <w:tcW w:w="3369" w:type="dxa"/>
            <w:tcBorders>
              <w:top w:val="single" w:sz="4" w:space="0" w:color="auto"/>
            </w:tcBorders>
          </w:tcPr>
          <w:p w:rsidR="007F3296" w:rsidRPr="0077712C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12C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/>
                <w:sz w:val="16"/>
                <w:szCs w:val="16"/>
              </w:rPr>
              <w:t xml:space="preserve"> инициалы)</w:t>
            </w:r>
          </w:p>
        </w:tc>
      </w:tr>
      <w:tr w:rsidR="007F3296" w:rsidTr="001C6A08">
        <w:tc>
          <w:tcPr>
            <w:tcW w:w="3369" w:type="dxa"/>
          </w:tcPr>
          <w:p w:rsidR="007F3296" w:rsidRDefault="007F3296" w:rsidP="001C6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296" w:rsidRPr="0077712C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7F3296" w:rsidRPr="008A7AF3" w:rsidRDefault="007F3296" w:rsidP="001C6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296" w:rsidTr="001C6A08">
        <w:tc>
          <w:tcPr>
            <w:tcW w:w="3369" w:type="dxa"/>
          </w:tcPr>
          <w:p w:rsidR="007F3296" w:rsidRPr="0077712C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7F3296" w:rsidRPr="008A7AF3" w:rsidRDefault="007F3296" w:rsidP="001C6A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F3296" w:rsidRPr="00D6214C" w:rsidRDefault="007F3296" w:rsidP="007F3296">
      <w:pPr>
        <w:spacing w:after="0" w:line="240" w:lineRule="auto"/>
      </w:pPr>
    </w:p>
    <w:p w:rsidR="007F3296" w:rsidRPr="00B04ACE" w:rsidRDefault="007F3296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3296" w:rsidRPr="00B04ACE" w:rsidSect="00707D1B">
      <w:headerReference w:type="first" r:id="rId8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61" w:rsidRDefault="00DC7061" w:rsidP="00DF4966">
      <w:pPr>
        <w:spacing w:after="0" w:line="240" w:lineRule="auto"/>
      </w:pPr>
      <w:r>
        <w:separator/>
      </w:r>
    </w:p>
  </w:endnote>
  <w:endnote w:type="continuationSeparator" w:id="1">
    <w:p w:rsidR="00DC7061" w:rsidRDefault="00DC7061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61" w:rsidRDefault="00DC7061" w:rsidP="00DF4966">
      <w:pPr>
        <w:spacing w:after="0" w:line="240" w:lineRule="auto"/>
      </w:pPr>
      <w:r>
        <w:separator/>
      </w:r>
    </w:p>
  </w:footnote>
  <w:footnote w:type="continuationSeparator" w:id="1">
    <w:p w:rsidR="00DC7061" w:rsidRDefault="00DC7061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Default="00440768">
    <w:pPr>
      <w:pStyle w:val="ab"/>
      <w:jc w:val="center"/>
    </w:pPr>
  </w:p>
  <w:p w:rsidR="00440768" w:rsidRDefault="00440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4"/>
  </w:num>
  <w:num w:numId="14">
    <w:abstractNumId w:val="25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0498"/>
    <w:rsid w:val="000051DA"/>
    <w:rsid w:val="000122D2"/>
    <w:rsid w:val="00017691"/>
    <w:rsid w:val="000436FE"/>
    <w:rsid w:val="00055F09"/>
    <w:rsid w:val="000A1476"/>
    <w:rsid w:val="000C0F31"/>
    <w:rsid w:val="000F1398"/>
    <w:rsid w:val="00110622"/>
    <w:rsid w:val="00125E4D"/>
    <w:rsid w:val="001519CC"/>
    <w:rsid w:val="0015344C"/>
    <w:rsid w:val="001A2510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7F3296"/>
    <w:rsid w:val="0081391D"/>
    <w:rsid w:val="00815C9B"/>
    <w:rsid w:val="0084232C"/>
    <w:rsid w:val="0085596F"/>
    <w:rsid w:val="00871A25"/>
    <w:rsid w:val="00874E80"/>
    <w:rsid w:val="00893465"/>
    <w:rsid w:val="008D68C2"/>
    <w:rsid w:val="008F166E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4ACE"/>
    <w:rsid w:val="00B0635F"/>
    <w:rsid w:val="00B25C53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C7061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7874-B449-440A-8F98-1E25D6E9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Admin</cp:lastModifiedBy>
  <cp:revision>2</cp:revision>
  <cp:lastPrinted>2020-02-05T13:21:00Z</cp:lastPrinted>
  <dcterms:created xsi:type="dcterms:W3CDTF">2021-03-16T12:57:00Z</dcterms:created>
  <dcterms:modified xsi:type="dcterms:W3CDTF">2021-03-16T12:57:00Z</dcterms:modified>
</cp:coreProperties>
</file>