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B85C11" w:rsidRDefault="00E426A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Курнинского</w:t>
      </w:r>
      <w:proofErr w:type="spellEnd"/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E068AC">
        <w:rPr>
          <w:rFonts w:ascii="Times New Roman" w:eastAsia="Times New Roman" w:hAnsi="Times New Roman"/>
          <w:sz w:val="28"/>
          <w:szCs w:val="28"/>
          <w:lang w:eastAsia="ru-RU"/>
        </w:rPr>
        <w:t>«30</w:t>
      </w:r>
      <w:r w:rsidR="008E45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068A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8E4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45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068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№2</w:t>
      </w:r>
    </w:p>
    <w:p w:rsidR="00B85C11" w:rsidRPr="000D0017" w:rsidRDefault="00B85C11" w:rsidP="00B85C11"/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85437" w:rsidRPr="00D85437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426A1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71D8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C66134" w:rsidRPr="00C66134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:rsidR="00B85C11" w:rsidRPr="003B3CA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426A1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="008E4593">
        <w:rPr>
          <w:rFonts w:ascii="Times New Roman" w:hAnsi="Times New Roman"/>
          <w:b/>
          <w:sz w:val="28"/>
          <w:szCs w:val="28"/>
        </w:rPr>
        <w:t xml:space="preserve">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="00E426A1">
        <w:rPr>
          <w:rFonts w:ascii="Times New Roman" w:hAnsi="Times New Roman"/>
          <w:b/>
          <w:sz w:val="28"/>
          <w:szCs w:val="28"/>
        </w:rPr>
        <w:t xml:space="preserve">                   Н.А.Борисова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594" w:rsidRPr="00327594" w:rsidRDefault="00327594" w:rsidP="00327594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Pr="00327594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27594" w:rsidRPr="00327594" w:rsidRDefault="003A3EAA" w:rsidP="00327594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27594" w:rsidRPr="00327594">
        <w:rPr>
          <w:rFonts w:ascii="Times New Roman" w:eastAsia="Times New Roman" w:hAnsi="Times New Roman"/>
          <w:sz w:val="24"/>
          <w:szCs w:val="24"/>
          <w:lang w:eastAsia="ru-RU"/>
        </w:rPr>
        <w:t>ешением Совета депутатов</w:t>
      </w:r>
    </w:p>
    <w:p w:rsidR="00327594" w:rsidRDefault="00327594" w:rsidP="00327594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7594">
        <w:rPr>
          <w:rFonts w:ascii="Times New Roman" w:eastAsia="Times New Roman" w:hAnsi="Times New Roman"/>
          <w:sz w:val="24"/>
          <w:szCs w:val="24"/>
          <w:lang w:eastAsia="ru-RU"/>
        </w:rPr>
        <w:t>Курнинского</w:t>
      </w:r>
      <w:proofErr w:type="spellEnd"/>
      <w:r w:rsidRPr="003275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27594" w:rsidRPr="00327594" w:rsidRDefault="00327594" w:rsidP="00327594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327594" w:rsidRPr="00327594" w:rsidRDefault="00327594" w:rsidP="00327594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27594">
        <w:rPr>
          <w:rFonts w:ascii="Times New Roman" w:eastAsia="Times New Roman" w:hAnsi="Times New Roman"/>
          <w:sz w:val="24"/>
          <w:szCs w:val="24"/>
          <w:lang w:eastAsia="ru-RU"/>
        </w:rPr>
        <w:t>т 30.10.2020 г. №2</w:t>
      </w:r>
    </w:p>
    <w:p w:rsidR="00327594" w:rsidRDefault="0032759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E426A1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proofErr w:type="spellStart"/>
      <w:r w:rsidR="00E426A1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3"/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Pr="00B04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proofErr w:type="spellStart"/>
      <w:r w:rsidR="00E426A1">
        <w:rPr>
          <w:rFonts w:ascii="Times New Roman" w:hAnsi="Times New Roman"/>
          <w:sz w:val="28"/>
          <w:szCs w:val="28"/>
          <w:lang w:eastAsia="ru-RU"/>
        </w:rPr>
        <w:t>Курнинского</w:t>
      </w:r>
      <w:proofErr w:type="spellEnd"/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5"/>
    </w:p>
    <w:p w:rsidR="00FB58F4" w:rsidRPr="00B04AC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2"/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подписывается всеми лицами, выступившими в качестве субъекта инициативы.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  <w:r w:rsidR="004B405A"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</w:t>
      </w:r>
      <w:r w:rsidR="00DD1B3C" w:rsidRPr="00DD1B3C">
        <w:rPr>
          <w:rFonts w:ascii="Times New Roman" w:hAnsi="Times New Roman"/>
          <w:sz w:val="28"/>
          <w:szCs w:val="28"/>
        </w:rPr>
        <w:t xml:space="preserve"> </w:t>
      </w:r>
      <w:r w:rsidRPr="00DD1B3C">
        <w:rPr>
          <w:rFonts w:ascii="Times New Roman" w:hAnsi="Times New Roman"/>
          <w:sz w:val="28"/>
          <w:szCs w:val="28"/>
        </w:rPr>
        <w:t>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Положения,  принимается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председательствующего  на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Тайное голосование проводится  в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3"/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6A1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B04ACE" w:rsidRDefault="004F557C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Разовые платежи, не внесенные в установленный срок, подлежит взысканию, в порядке, установленном законодательством для взыскания невнесенных в срок неналоговых платежей.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B04ACE" w:rsidRDefault="00FB58F4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4"/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FB58F4" w:rsidRPr="00B04ACE" w:rsidRDefault="00FB58F4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5"/>
    </w:p>
    <w:p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594" w:rsidRDefault="00327594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</w:t>
      </w:r>
      <w:r w:rsidRPr="00327594">
        <w:rPr>
          <w:color w:val="000000"/>
        </w:rPr>
        <w:t>Приложение 1</w:t>
      </w:r>
    </w:p>
    <w:p w:rsidR="00327594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</w:t>
      </w:r>
      <w:r w:rsidRPr="00327594">
        <w:rPr>
          <w:color w:val="000000"/>
        </w:rPr>
        <w:t xml:space="preserve"> Положению о порядке</w:t>
      </w:r>
    </w:p>
    <w:p w:rsidR="00327594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самообло</w:t>
      </w:r>
      <w:r w:rsidRPr="00327594">
        <w:rPr>
          <w:color w:val="000000"/>
        </w:rPr>
        <w:t>жения граждан</w:t>
      </w:r>
    </w:p>
    <w:p w:rsidR="00196B45" w:rsidRDefault="00196B45" w:rsidP="00196B45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196B45" w:rsidRDefault="00196B45" w:rsidP="00196B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196B45" w:rsidRDefault="00196B45" w:rsidP="00196B4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6B45" w:rsidRDefault="00196B45" w:rsidP="00196B45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45" w:rsidRDefault="00196B45" w:rsidP="00196B45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схода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ода.</w:t>
      </w:r>
    </w:p>
    <w:p w:rsidR="00196B45" w:rsidRDefault="00196B45" w:rsidP="00196B45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196B45" w:rsidRPr="00A33B8B" w:rsidTr="005E58A4">
        <w:tc>
          <w:tcPr>
            <w:tcW w:w="540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680"/>
        </w:trPr>
        <w:tc>
          <w:tcPr>
            <w:tcW w:w="540" w:type="dxa"/>
            <w:shd w:val="clear" w:color="auto" w:fill="auto"/>
          </w:tcPr>
          <w:p w:rsidR="00196B45" w:rsidRPr="00A33B8B" w:rsidRDefault="00196B45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196B45" w:rsidRPr="00A33B8B" w:rsidRDefault="00196B45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196B45" w:rsidRPr="00A33B8B" w:rsidRDefault="00196B45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B45" w:rsidRDefault="00196B45" w:rsidP="00196B45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96B45" w:rsidRDefault="00196B45" w:rsidP="00196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96B45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p w:rsidR="00327594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327594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</w:t>
      </w:r>
      <w:r w:rsidRPr="00327594">
        <w:rPr>
          <w:color w:val="000000"/>
        </w:rPr>
        <w:t xml:space="preserve"> Положению о порядке</w:t>
      </w:r>
    </w:p>
    <w:p w:rsidR="00327594" w:rsidRPr="00327594" w:rsidRDefault="00327594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самообло</w:t>
      </w:r>
      <w:r w:rsidRPr="00327594">
        <w:rPr>
          <w:color w:val="000000"/>
        </w:rPr>
        <w:t>жения граждан</w:t>
      </w:r>
    </w:p>
    <w:p w:rsidR="00196B45" w:rsidRDefault="00196B45" w:rsidP="00196B4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96B45" w:rsidRPr="00A33B8B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196B45" w:rsidRPr="00D06B32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45" w:rsidRDefault="00196B45" w:rsidP="0019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8"/>
      </w:tblGrid>
      <w:tr w:rsidR="00196B45" w:rsidRPr="00A33B8B" w:rsidTr="005E58A4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196B45" w:rsidRPr="00A33B8B" w:rsidRDefault="00196B45" w:rsidP="005E5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 (вопросам):</w:t>
            </w:r>
          </w:p>
        </w:tc>
      </w:tr>
      <w:tr w:rsidR="00196B45" w:rsidRPr="00A33B8B" w:rsidTr="005E58A4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196B45" w:rsidRPr="00A33B8B" w:rsidRDefault="00196B45" w:rsidP="005E5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B45" w:rsidRPr="00A33B8B" w:rsidTr="005E58A4">
        <w:trPr>
          <w:trHeight w:val="567"/>
        </w:trPr>
        <w:tc>
          <w:tcPr>
            <w:tcW w:w="13608" w:type="dxa"/>
            <w:shd w:val="clear" w:color="auto" w:fill="auto"/>
          </w:tcPr>
          <w:p w:rsidR="00196B45" w:rsidRDefault="00196B45" w:rsidP="005E5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(вопрос (вопросы) схода граждан)</w:t>
            </w:r>
          </w:p>
          <w:p w:rsidR="00196B45" w:rsidRPr="00012DB6" w:rsidRDefault="00196B45" w:rsidP="005E5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96B45" w:rsidRDefault="00196B45" w:rsidP="00196B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45" w:rsidRPr="000F2A92" w:rsidRDefault="00196B45" w:rsidP="00196B45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196B45" w:rsidRPr="00F75193" w:rsidTr="005E58A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51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B45" w:rsidRDefault="00196B45" w:rsidP="00196B45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/>
      </w:tblPr>
      <w:tblGrid>
        <w:gridCol w:w="3719"/>
        <w:gridCol w:w="10882"/>
      </w:tblGrid>
      <w:tr w:rsidR="00196B45" w:rsidRPr="00F75193" w:rsidTr="005E58A4">
        <w:trPr>
          <w:trHeight w:val="567"/>
        </w:trPr>
        <w:tc>
          <w:tcPr>
            <w:tcW w:w="3719" w:type="dxa"/>
            <w:shd w:val="clear" w:color="auto" w:fill="auto"/>
          </w:tcPr>
          <w:p w:rsidR="00196B45" w:rsidRPr="00F75193" w:rsidRDefault="00196B45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196B45" w:rsidRPr="00F75193" w:rsidRDefault="00196B45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F75193" w:rsidTr="005E58A4">
        <w:tc>
          <w:tcPr>
            <w:tcW w:w="3719" w:type="dxa"/>
            <w:shd w:val="clear" w:color="auto" w:fill="auto"/>
          </w:tcPr>
          <w:p w:rsidR="00196B45" w:rsidRPr="00F75193" w:rsidRDefault="00196B45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B45" w:rsidRDefault="00196B45" w:rsidP="00196B45">
      <w:pPr>
        <w:rPr>
          <w:sz w:val="12"/>
          <w:szCs w:val="12"/>
        </w:rPr>
        <w:sectPr w:rsidR="00196B45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327594" w:rsidTr="009B3FE4">
        <w:trPr>
          <w:jc w:val="right"/>
        </w:trPr>
        <w:tc>
          <w:tcPr>
            <w:tcW w:w="4395" w:type="dxa"/>
            <w:shd w:val="clear" w:color="auto" w:fill="auto"/>
          </w:tcPr>
          <w:p w:rsidR="00327594" w:rsidRDefault="00327594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327594" w:rsidRDefault="00327594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327594" w:rsidRPr="00431FF7" w:rsidRDefault="00327594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196B45" w:rsidRDefault="00196B45" w:rsidP="00196B4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196B45" w:rsidRPr="0077712C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>о гражданах, имеющих право голосовать на сходе граждан</w:t>
      </w: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96B45" w:rsidRPr="00A33B8B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196B45" w:rsidRPr="00D06B32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45" w:rsidRPr="000F2A92" w:rsidRDefault="00196B45" w:rsidP="00196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196B45" w:rsidRPr="00F75193" w:rsidTr="005E58A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51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B45" w:rsidRDefault="00196B45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B45" w:rsidRPr="0077712C" w:rsidRDefault="00196B45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7"/>
        <w:gridCol w:w="2551"/>
        <w:gridCol w:w="387"/>
        <w:gridCol w:w="3015"/>
      </w:tblGrid>
      <w:tr w:rsidR="00196B45" w:rsidTr="005E58A4">
        <w:tc>
          <w:tcPr>
            <w:tcW w:w="3369" w:type="dxa"/>
            <w:tcBorders>
              <w:bottom w:val="single" w:sz="4" w:space="0" w:color="auto"/>
            </w:tcBorders>
          </w:tcPr>
          <w:p w:rsidR="00196B45" w:rsidRDefault="00196B45" w:rsidP="005E5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45" w:rsidRPr="008A7AF3" w:rsidRDefault="00196B45" w:rsidP="005E5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Tr="005E58A4">
        <w:tc>
          <w:tcPr>
            <w:tcW w:w="3369" w:type="dxa"/>
            <w:tcBorders>
              <w:top w:val="single" w:sz="4" w:space="0" w:color="auto"/>
            </w:tcBorders>
          </w:tcPr>
          <w:p w:rsidR="00196B45" w:rsidRPr="0077712C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196B45" w:rsidTr="005E58A4">
        <w:tc>
          <w:tcPr>
            <w:tcW w:w="3369" w:type="dxa"/>
          </w:tcPr>
          <w:p w:rsidR="00196B45" w:rsidRDefault="00196B45" w:rsidP="005E58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45" w:rsidRPr="0077712C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B45" w:rsidTr="005E58A4">
        <w:tc>
          <w:tcPr>
            <w:tcW w:w="3369" w:type="dxa"/>
          </w:tcPr>
          <w:p w:rsidR="00196B45" w:rsidRPr="0077712C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6B45" w:rsidRDefault="00196B45" w:rsidP="00196B45">
      <w:pPr>
        <w:spacing w:after="0" w:line="240" w:lineRule="auto"/>
      </w:pPr>
      <w:r>
        <w:br w:type="page"/>
      </w:r>
    </w:p>
    <w:p w:rsidR="00327594" w:rsidRDefault="00327594" w:rsidP="00327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327594" w:rsidRDefault="00327594" w:rsidP="00327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</w:t>
      </w:r>
    </w:p>
    <w:p w:rsidR="00196B45" w:rsidRDefault="00327594" w:rsidP="00327594">
      <w:pPr>
        <w:pStyle w:val="s1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t>самообложения граждан</w:t>
      </w:r>
    </w:p>
    <w:p w:rsidR="00196B45" w:rsidRPr="0077712C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196B45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>о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bookmarkStart w:id="6" w:name="_GoBack"/>
      <w:bookmarkEnd w:id="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96B45" w:rsidRPr="00A33B8B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196B45" w:rsidRPr="00D06B32" w:rsidRDefault="00196B45" w:rsidP="0019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45" w:rsidRPr="000F2A92" w:rsidRDefault="00196B45" w:rsidP="00196B45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196B45" w:rsidRPr="00F75193" w:rsidTr="005E58A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751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RPr="003C2D12" w:rsidTr="005E58A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B45" w:rsidRPr="00F75193" w:rsidRDefault="00196B45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B45" w:rsidRDefault="00196B45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B45" w:rsidRPr="0077712C" w:rsidRDefault="00196B45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Style w:val="af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7"/>
        <w:gridCol w:w="2551"/>
        <w:gridCol w:w="387"/>
        <w:gridCol w:w="3015"/>
      </w:tblGrid>
      <w:tr w:rsidR="00196B45" w:rsidTr="005E58A4">
        <w:tc>
          <w:tcPr>
            <w:tcW w:w="3369" w:type="dxa"/>
            <w:tcBorders>
              <w:bottom w:val="single" w:sz="4" w:space="0" w:color="auto"/>
            </w:tcBorders>
          </w:tcPr>
          <w:p w:rsidR="00196B45" w:rsidRDefault="00196B45" w:rsidP="005E5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45" w:rsidRPr="008A7AF3" w:rsidRDefault="00196B45" w:rsidP="005E5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5" w:rsidTr="005E58A4">
        <w:tc>
          <w:tcPr>
            <w:tcW w:w="3369" w:type="dxa"/>
            <w:tcBorders>
              <w:top w:val="single" w:sz="4" w:space="0" w:color="auto"/>
            </w:tcBorders>
          </w:tcPr>
          <w:p w:rsidR="00196B45" w:rsidRPr="0077712C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12C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F3">
              <w:rPr>
                <w:rFonts w:ascii="Times New Roman" w:hAnsi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/>
                <w:sz w:val="16"/>
                <w:szCs w:val="16"/>
              </w:rPr>
              <w:t xml:space="preserve"> инициалы)</w:t>
            </w:r>
          </w:p>
        </w:tc>
      </w:tr>
      <w:tr w:rsidR="00196B45" w:rsidTr="005E58A4">
        <w:tc>
          <w:tcPr>
            <w:tcW w:w="3369" w:type="dxa"/>
          </w:tcPr>
          <w:p w:rsidR="00196B45" w:rsidRDefault="00196B45" w:rsidP="005E58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45" w:rsidRPr="0077712C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196B45" w:rsidRPr="008A7AF3" w:rsidRDefault="00196B45" w:rsidP="005E58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B45" w:rsidTr="005E58A4">
        <w:tc>
          <w:tcPr>
            <w:tcW w:w="3369" w:type="dxa"/>
          </w:tcPr>
          <w:p w:rsidR="00196B45" w:rsidRPr="0077712C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196B45" w:rsidRPr="008A7AF3" w:rsidRDefault="00196B45" w:rsidP="005E5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6B45" w:rsidRPr="00D6214C" w:rsidRDefault="00196B45" w:rsidP="00196B45">
      <w:pPr>
        <w:spacing w:after="0" w:line="240" w:lineRule="auto"/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B45" w:rsidRPr="00B04ACE" w:rsidRDefault="00196B45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6B45" w:rsidRPr="00B04AC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AE" w:rsidRDefault="004775AE" w:rsidP="00DF4966">
      <w:pPr>
        <w:spacing w:after="0" w:line="240" w:lineRule="auto"/>
      </w:pPr>
      <w:r>
        <w:separator/>
      </w:r>
    </w:p>
  </w:endnote>
  <w:endnote w:type="continuationSeparator" w:id="0">
    <w:p w:rsidR="004775AE" w:rsidRDefault="004775AE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AE" w:rsidRDefault="004775AE" w:rsidP="00DF4966">
      <w:pPr>
        <w:spacing w:after="0" w:line="240" w:lineRule="auto"/>
      </w:pPr>
      <w:r>
        <w:separator/>
      </w:r>
    </w:p>
  </w:footnote>
  <w:footnote w:type="continuationSeparator" w:id="0">
    <w:p w:rsidR="004775AE" w:rsidRDefault="004775AE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E0498"/>
    <w:rsid w:val="000045CE"/>
    <w:rsid w:val="000051DA"/>
    <w:rsid w:val="000122D2"/>
    <w:rsid w:val="00017691"/>
    <w:rsid w:val="000436FE"/>
    <w:rsid w:val="00055F09"/>
    <w:rsid w:val="000A1476"/>
    <w:rsid w:val="000C0F31"/>
    <w:rsid w:val="000D7BCA"/>
    <w:rsid w:val="00110622"/>
    <w:rsid w:val="00125E4D"/>
    <w:rsid w:val="001519CC"/>
    <w:rsid w:val="0015344C"/>
    <w:rsid w:val="00175F7B"/>
    <w:rsid w:val="00176718"/>
    <w:rsid w:val="00194DD0"/>
    <w:rsid w:val="00196B45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27594"/>
    <w:rsid w:val="003500C9"/>
    <w:rsid w:val="00367520"/>
    <w:rsid w:val="00367BC0"/>
    <w:rsid w:val="00372F46"/>
    <w:rsid w:val="003A3EAA"/>
    <w:rsid w:val="003B4024"/>
    <w:rsid w:val="003F3203"/>
    <w:rsid w:val="004009CC"/>
    <w:rsid w:val="0040138D"/>
    <w:rsid w:val="00430C45"/>
    <w:rsid w:val="00440768"/>
    <w:rsid w:val="004548DA"/>
    <w:rsid w:val="00457EF3"/>
    <w:rsid w:val="00462C4B"/>
    <w:rsid w:val="00471D85"/>
    <w:rsid w:val="004775AE"/>
    <w:rsid w:val="0048697D"/>
    <w:rsid w:val="00494E6A"/>
    <w:rsid w:val="004A1258"/>
    <w:rsid w:val="004B405A"/>
    <w:rsid w:val="004C0714"/>
    <w:rsid w:val="004E2595"/>
    <w:rsid w:val="004F557C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6756C"/>
    <w:rsid w:val="00587E26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E4593"/>
    <w:rsid w:val="008F166E"/>
    <w:rsid w:val="008F2B69"/>
    <w:rsid w:val="009014B7"/>
    <w:rsid w:val="009103D2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1658"/>
    <w:rsid w:val="00B3526C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2D70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E4565"/>
    <w:rsid w:val="00DF16C8"/>
    <w:rsid w:val="00DF4966"/>
    <w:rsid w:val="00E068AC"/>
    <w:rsid w:val="00E101DB"/>
    <w:rsid w:val="00E12F5F"/>
    <w:rsid w:val="00E16CD3"/>
    <w:rsid w:val="00E20393"/>
    <w:rsid w:val="00E21308"/>
    <w:rsid w:val="00E24EEE"/>
    <w:rsid w:val="00E426A1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6CC0-5DD4-4AB8-9E8B-45825170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1</cp:lastModifiedBy>
  <cp:revision>17</cp:revision>
  <cp:lastPrinted>2020-11-06T08:54:00Z</cp:lastPrinted>
  <dcterms:created xsi:type="dcterms:W3CDTF">2020-06-09T20:15:00Z</dcterms:created>
  <dcterms:modified xsi:type="dcterms:W3CDTF">2020-11-06T09:01:00Z</dcterms:modified>
</cp:coreProperties>
</file>