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ru-RU"/>
        </w:rPr>
        <w:t>УПФР в Краснослободском муниципальном районе РМ (межрайонное) сообщает</w:t>
      </w:r>
      <w:r>
        <w:rPr/>
        <w:t>, что 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  <w:br/>
        <w:br/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 Подробнее на сайте ПФР:</w:t>
        <w:br/>
      </w:r>
      <w:hyperlink r:id="rId2" w:tgtFrame="_blank">
        <w:r>
          <w:rPr>
            <w:rStyle w:val="Style11"/>
          </w:rPr>
          <w:t>https://pfr.gov.ru/grazhdanam/msk/msk_adaptation/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589780"/>
            <wp:effectExtent l="0" t="0" r="0" b="0"/>
            <wp:wrapSquare wrapText="largest"/>
            <wp:docPr id="1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msk%2Fmsk_adaptation%2F&amp;post=-92575836_6761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2021-04-07T15:52:07Z</dcterms:modified>
  <cp:revision>1</cp:revision>
</cp:coreProperties>
</file>