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280" w:after="280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bookmarkStart w:id="0" w:name="__DdeLink__1260_1107990843"/>
      <w:bookmarkEnd w:id="0"/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Досрочный выход на пенсию в связи с продолжительным стажем</w:t>
      </w:r>
    </w:p>
    <w:p>
      <w:pPr>
        <w:pStyle w:val="Style14"/>
        <w:jc w:val="both"/>
        <w:rPr/>
      </w:pPr>
      <w:r>
        <w:rPr/>
        <w:t>Мужчины, имеющие стаж 42 года и женщины, имеющие стаж 37 лет, имеют право рассчитывать на досрочный выход на пенсию на 2 года раньше общеустановленного срока.</w:t>
      </w:r>
    </w:p>
    <w:p>
      <w:pPr>
        <w:pStyle w:val="Style14"/>
        <w:jc w:val="both"/>
        <w:rPr/>
      </w:pPr>
      <w:r>
        <w:rPr/>
        <w:t>Важно отметить, что при назначении досрочной пенсии в связи с продолжительным стажем засчитываются только периоды работы на территории России, за которые в Пенсионный фонд начислялись и уплачивались страховые взносы, а также периоды получения пособия по обязательному социальному страхованию в период временной нетрудоспособности.</w:t>
      </w:r>
    </w:p>
    <w:p>
      <w:pPr>
        <w:pStyle w:val="Style14"/>
        <w:jc w:val="both"/>
        <w:rPr/>
      </w:pPr>
      <w:r>
        <w:rPr/>
        <w:t>Такие периоды, как служба в армии, отпуск по уходу за ребенком, периоды получения пособия по безработице будут засчитаны при определении права на установление страховой пенсии по старости на общих основаниях, однако при назначении досрочной пенсии в связи с продолжительным стажем не учитываются.</w:t>
      </w:r>
    </w:p>
    <w:p>
      <w:pPr>
        <w:pStyle w:val="Style14"/>
        <w:spacing w:before="0" w:after="140"/>
        <w:jc w:val="both"/>
        <w:rPr/>
      </w:pPr>
      <w:r>
        <w:rPr/>
        <w:t>Вы можете проверить имеющийся стаж, запросив выписку из индивидуального лицевого счета. Сделать это можно в электронном виде в Личном кабинете на сайте Пенсионного фонда России (</w:t>
      </w:r>
      <w:r>
        <w:rPr>
          <w:rStyle w:val="Style11"/>
        </w:rPr>
        <w:t>es.pfrf.ru</w:t>
      </w:r>
      <w:r>
        <w:rPr/>
        <w:t xml:space="preserve">, в разделе </w:t>
      </w:r>
      <w:r>
        <w:rPr>
          <w:rStyle w:val="Style12"/>
        </w:rPr>
        <w:t>«Индивидуальный лицевой счет»</w:t>
      </w:r>
      <w:r>
        <w:rPr/>
        <w:t xml:space="preserve"> выбрать </w:t>
      </w:r>
      <w:r>
        <w:rPr>
          <w:rStyle w:val="Style12"/>
        </w:rPr>
        <w:t>«Заказать справку (выписку) о состоянии индивидуального лицевого счета»</w:t>
      </w:r>
      <w:r>
        <w:rPr/>
        <w:t>) и на портале Госуслуг (</w:t>
      </w:r>
      <w:r>
        <w:rPr>
          <w:rStyle w:val="Style11"/>
        </w:rPr>
        <w:t>gosuslugi.ru</w:t>
      </w:r>
      <w:r>
        <w:rPr/>
        <w:t>), либо обратившись лично в клиентскую службу ПФР или офис МФЦ.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2021-06-28T10:46:56Z</dcterms:created>
  <dc:language>ru-RU</dc:language>
  <dcterms:modified xsi:type="dcterms:W3CDTF">2021-06-28T10:47:27Z</dcterms:modified>
  <cp:revision>1</cp:revision>
</cp:coreProperties>
</file>