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65" w:leader="none"/>
        </w:tabs>
        <w:rPr>
          <w:b/>
          <w:b/>
          <w:color w:val="C00000"/>
          <w:sz w:val="40"/>
          <w:szCs w:val="40"/>
        </w:rPr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-311785</wp:posOffset>
            </wp:positionH>
            <wp:positionV relativeFrom="paragraph">
              <wp:posOffset>85725</wp:posOffset>
            </wp:positionV>
            <wp:extent cx="1743075" cy="1626870"/>
            <wp:effectExtent l="0" t="0" r="0" b="0"/>
            <wp:wrapTight wrapText="bothSides">
              <wp:wrapPolygon edited="0">
                <wp:start x="-163" y="0"/>
                <wp:lineTo x="-163" y="21448"/>
                <wp:lineTo x="21600" y="21448"/>
                <wp:lineTo x="21600" y="0"/>
                <wp:lineTo x="-163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  <w:lang w:val="en-US" w:eastAsia="ru-RU"/>
        </w:rPr>
      </w:r>
      <w:r>
        <w:rPr>
          <w:color w:val="000000"/>
          <w:sz w:val="26"/>
          <w:szCs w:val="26"/>
          <w:lang w:val="en-US" w:eastAsia="ru-RU"/>
        </w:rPr>
      </w:r>
      <w:r>
        <w:rPr>
          <w:b/>
          <w:color w:val="C00000"/>
          <w:sz w:val="40"/>
          <w:szCs w:val="40"/>
        </w:rPr>
        <w:t xml:space="preserve">                                                                  </w:t>
      </w:r>
      <w:r>
        <mc:AlternateContent>
          <mc:Choice Requires="wps">
            <w:drawing>
              <wp:inline distT="0" distB="0" distL="0" distR="0">
                <wp:extent cx="4965700" cy="342900"/>
                <wp:effectExtent l="0" t="0" r="0" b="0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w w:val="12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17365D"/>
                                <w:w w:val="120"/>
                                <w:sz w:val="32"/>
                                <w:szCs w:val="32"/>
                              </w:rPr>
                              <w:t>Отделение ПФР по Республике Мордовия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yle="position:absolute;rotation:0;width:391pt;height:27pt;margin-top:0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color w:val="17365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7365D"/>
                          <w:w w:val="12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color w:val="17365D"/>
                          <w:w w:val="120"/>
                          <w:sz w:val="32"/>
                          <w:szCs w:val="32"/>
                        </w:rPr>
                        <w:t>Отделение ПФР по Республике Мордовия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5033010" cy="1165225"/>
                <wp:effectExtent l="0" t="0" r="0" b="0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010" cy="11652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w w:val="120"/>
                                <w:sz w:val="36"/>
                                <w:szCs w:val="36"/>
                              </w:rPr>
                              <w:t>Об изменениях формы и порядка заполнения сведений о трудовой деятельности (СЗВ-ТД)!                                 С 1 июля 2021 года!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yle="position:absolute;rotation:0;width:396.3pt;height:91.75pt;margin-top:0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w w:val="120"/>
                          <w:sz w:val="36"/>
                          <w:szCs w:val="36"/>
                        </w:rPr>
                        <w:t>Об изменениях формы и порядка заполнения сведений о трудовой деятельности (СЗВ-ТД)!                                 С 1 июля 2021 года!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jc w:val="center"/>
        <w:rPr>
          <w:b/>
          <w:b/>
          <w:color w:val="17365D"/>
          <w:sz w:val="32"/>
          <w:szCs w:val="32"/>
          <w:lang w:eastAsia="ru-RU"/>
        </w:rPr>
      </w:pPr>
      <w:r>
        <w:rPr>
          <w:b/>
          <w:color w:val="17365D"/>
          <w:sz w:val="32"/>
          <w:szCs w:val="32"/>
          <w:lang w:eastAsia="ru-RU"/>
        </w:rPr>
        <w:t>Уважаемые работодатели!</w:t>
      </w:r>
    </w:p>
    <w:p>
      <w:pPr>
        <w:pStyle w:val="Normal"/>
        <w:autoSpaceDE w:val="false"/>
        <w:ind w:firstLine="709"/>
        <w:jc w:val="center"/>
        <w:rPr>
          <w:b/>
          <w:b/>
          <w:color w:val="17365D"/>
          <w:sz w:val="27"/>
          <w:szCs w:val="27"/>
          <w:lang w:eastAsia="ru-RU"/>
        </w:rPr>
      </w:pPr>
      <w:r>
        <w:rPr>
          <w:b/>
          <w:color w:val="17365D"/>
          <w:sz w:val="27"/>
          <w:szCs w:val="27"/>
          <w:lang w:eastAsia="ru-RU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Отделение ПФР по Республике Мордовия информирует о том, что                                    </w:t>
      </w:r>
      <w:r>
        <w:rPr>
          <w:b/>
          <w:color w:val="C00000"/>
          <w:sz w:val="28"/>
          <w:szCs w:val="28"/>
          <w:lang w:eastAsia="ru-RU"/>
        </w:rPr>
        <w:t>с 1 июля 2021 года</w:t>
      </w:r>
      <w:r>
        <w:rPr>
          <w:color w:val="000000"/>
          <w:sz w:val="28"/>
          <w:szCs w:val="28"/>
        </w:rPr>
        <w:t xml:space="preserve"> вступает в силу</w:t>
      </w:r>
      <w:r>
        <w:rPr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>постановление Правления ПФР</w:t>
      </w:r>
      <w:r>
        <w:rPr>
          <w:b/>
          <w:sz w:val="28"/>
          <w:szCs w:val="28"/>
          <w:lang w:eastAsia="ru-RU"/>
        </w:rPr>
        <w:t xml:space="preserve">                                 от 27 октября 2020 г. № 769п </w:t>
      </w:r>
      <w:r>
        <w:rPr>
          <w:sz w:val="28"/>
          <w:szCs w:val="28"/>
          <w:lang w:eastAsia="ru-RU"/>
        </w:rPr>
        <w:t>«О внесении изменений в постановление Правления Пенсионного фонда Российской Федерации от 25 декабря 2019 г. № 730п».</w:t>
      </w:r>
    </w:p>
    <w:p>
      <w:pPr>
        <w:pStyle w:val="Normal"/>
        <w:autoSpaceDE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  <w:lang w:eastAsia="ru-RU"/>
        </w:rPr>
        <w:t xml:space="preserve">В соответствии с указанным постановлением </w:t>
      </w:r>
      <w:r>
        <w:rPr>
          <w:b/>
          <w:color w:val="C00000"/>
          <w:sz w:val="28"/>
          <w:szCs w:val="28"/>
          <w:lang w:eastAsia="ru-RU"/>
        </w:rPr>
        <w:t>с 1 июля 2021 года вносятся следующие изменения</w:t>
      </w:r>
      <w:r>
        <w:rPr>
          <w:color w:val="C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форму и порядок заполнения СЗВ-ТД:</w:t>
      </w:r>
    </w:p>
    <w:p>
      <w:pPr>
        <w:pStyle w:val="Normal"/>
        <w:autoSpaceDE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autoSpaceDE w:val="false"/>
        <w:ind w:left="426" w:hanging="426"/>
        <w:jc w:val="both"/>
        <w:rPr/>
      </w:pPr>
      <w:r>
        <w:rPr>
          <w:b/>
          <w:sz w:val="28"/>
          <w:szCs w:val="28"/>
          <w:lang w:eastAsia="ru-RU"/>
        </w:rPr>
        <w:t>Исключается</w:t>
      </w:r>
      <w:r>
        <w:rPr>
          <w:i/>
          <w:sz w:val="28"/>
          <w:szCs w:val="28"/>
          <w:lang w:eastAsia="ru-RU"/>
        </w:rPr>
        <w:t xml:space="preserve"> запись об отчетном периоде.</w:t>
      </w:r>
    </w:p>
    <w:p>
      <w:pPr>
        <w:pStyle w:val="Normal"/>
        <w:autoSpaceDE w:val="false"/>
        <w:jc w:val="both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autoSpaceDE w:val="false"/>
        <w:ind w:left="426" w:hanging="42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Добавляется раздел</w:t>
      </w:r>
      <w:r>
        <w:rPr>
          <w:i/>
          <w:sz w:val="28"/>
          <w:szCs w:val="28"/>
          <w:lang w:eastAsia="ru-RU"/>
        </w:rPr>
        <w:t xml:space="preserve"> со сведениями о работодателе, правопреемником которого является страхователь.</w:t>
      </w:r>
      <w:r>
        <w:rPr>
          <w:sz w:val="28"/>
          <w:szCs w:val="28"/>
          <w:lang w:eastAsia="ru-RU"/>
        </w:rPr>
        <w:t xml:space="preserve"> Раздел заполняется при необходимости представить (скорректировать) сведения о трудовой деятельности по зарегистрированному лицу, представленные работодателем, который в настоящее время снят с учета.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autoSpaceDE w:val="false"/>
        <w:ind w:left="426" w:hanging="426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Добавляется графа</w:t>
      </w:r>
      <w:r>
        <w:rPr>
          <w:i/>
          <w:sz w:val="28"/>
          <w:szCs w:val="28"/>
          <w:lang w:eastAsia="ru-RU"/>
        </w:rPr>
        <w:t xml:space="preserve"> «Работа в районах Крайнего Севера/ Работа в местностях, приравненных к районам Крайнего Севера».</w:t>
      </w:r>
      <w:r>
        <w:rPr>
          <w:sz w:val="28"/>
          <w:szCs w:val="28"/>
          <w:lang w:eastAsia="ru-RU"/>
        </w:rPr>
        <w:t xml:space="preserve"> Графа заполняется в отношении зарегистрированных лиц, осуществляющих работу в районах Крайнего Севера   (код РКС) или в местностях, приравненных к районам Крайнего Севера (МКС).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autoSpaceDE w:val="false"/>
        <w:ind w:left="426" w:hanging="426"/>
        <w:jc w:val="both"/>
        <w:rPr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  <w:lang w:eastAsia="ru-RU"/>
        </w:rPr>
        <w:t>Становится обязательной к заполнению графа «Код выполняемой функции»!</w:t>
      </w:r>
      <w:r>
        <w:rPr>
          <w:sz w:val="28"/>
          <w:szCs w:val="28"/>
          <w:lang w:eastAsia="ru-RU"/>
        </w:rPr>
        <w:t xml:space="preserve"> В графе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«</w:t>
      </w:r>
      <w:r>
        <w:rPr>
          <w:sz w:val="28"/>
          <w:szCs w:val="28"/>
          <w:lang w:val="en-US" w:eastAsia="ru-RU"/>
        </w:rPr>
        <w:t>XXXX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X</w:t>
      </w:r>
      <w:r>
        <w:rPr>
          <w:sz w:val="28"/>
          <w:szCs w:val="28"/>
          <w:lang w:eastAsia="ru-RU"/>
        </w:rPr>
        <w:t xml:space="preserve">», где первые четыре знака - код наименования группы занятий в Общероссийском классификаторе занятий           ОК 010-2014 (МСКЗ-08) (приказ Росстандарта от 12.12.2014 г. № 2020-ст), пятый знак - контрольное число. </w:t>
      </w:r>
    </w:p>
    <w:p>
      <w:pPr>
        <w:pStyle w:val="Normal"/>
        <w:autoSpaceDE w:val="false"/>
        <w:ind w:left="426" w:hanging="0"/>
        <w:jc w:val="both"/>
        <w:rPr/>
      </w:pPr>
      <w:r>
        <w:rPr>
          <w:sz w:val="28"/>
          <w:szCs w:val="28"/>
          <w:lang w:eastAsia="ru-RU"/>
        </w:rPr>
        <w:t>Расшифровка схемы кодирования ХХХХ. Х следующая: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 - основная группа;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ХХ - подгруппа;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ХХХ - малая группа;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ХХХХ - начальная группа;</w:t>
      </w:r>
    </w:p>
    <w:p>
      <w:pPr>
        <w:pStyle w:val="Normal"/>
        <w:autoSpaceDE w:val="false"/>
        <w:ind w:left="42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 - контрольное число.</w:t>
      </w:r>
    </w:p>
    <w:p>
      <w:pPr>
        <w:pStyle w:val="Normal"/>
        <w:suppressAutoHyphens w:val="false"/>
        <w:autoSpaceDE w:val="false"/>
        <w:ind w:firstLine="720"/>
        <w:jc w:val="both"/>
        <w:rPr>
          <w:b/>
          <w:b/>
          <w:color w:val="C00000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  <w:lang w:eastAsia="ru-RU"/>
        </w:rPr>
        <w:t>Первая цифра кода указывает, к какой основной группе относится занятие!</w:t>
      </w:r>
    </w:p>
    <w:p>
      <w:pPr>
        <w:pStyle w:val="Normal"/>
        <w:suppressAutoHyphens w:val="false"/>
        <w:autoSpaceDE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классификаторе приняты следующие основные группы: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1">
        <w:r>
          <w:rPr>
            <w:rStyle w:val="Style13"/>
            <w:sz w:val="28"/>
            <w:szCs w:val="28"/>
            <w:lang w:eastAsia="ru-RU"/>
          </w:rPr>
          <w:t>1</w:t>
        </w:r>
      </w:hyperlink>
      <w:r>
        <w:rPr>
          <w:sz w:val="28"/>
          <w:szCs w:val="28"/>
          <w:lang w:eastAsia="ru-RU"/>
        </w:rPr>
        <w:t xml:space="preserve"> -  Руководители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2">
        <w:r>
          <w:rPr>
            <w:rStyle w:val="Style13"/>
            <w:sz w:val="28"/>
            <w:szCs w:val="28"/>
            <w:lang w:eastAsia="ru-RU"/>
          </w:rPr>
          <w:t>2</w:t>
        </w:r>
      </w:hyperlink>
      <w:r>
        <w:rPr>
          <w:sz w:val="28"/>
          <w:szCs w:val="28"/>
          <w:lang w:eastAsia="ru-RU"/>
        </w:rPr>
        <w:t xml:space="preserve"> -  Специалисты высшего уровня квалификации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3">
        <w:r>
          <w:rPr>
            <w:rStyle w:val="Style13"/>
            <w:sz w:val="28"/>
            <w:szCs w:val="28"/>
            <w:lang w:eastAsia="ru-RU"/>
          </w:rPr>
          <w:t>3</w:t>
        </w:r>
      </w:hyperlink>
      <w:r>
        <w:rPr>
          <w:sz w:val="28"/>
          <w:szCs w:val="28"/>
          <w:lang w:eastAsia="ru-RU"/>
        </w:rPr>
        <w:t xml:space="preserve"> -  Специалисты среднего уровня квалификации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4">
        <w:r>
          <w:rPr>
            <w:rStyle w:val="Style13"/>
            <w:sz w:val="28"/>
            <w:szCs w:val="28"/>
            <w:lang w:eastAsia="ru-RU"/>
          </w:rPr>
          <w:t>4</w:t>
        </w:r>
      </w:hyperlink>
      <w:r>
        <w:rPr>
          <w:sz w:val="28"/>
          <w:szCs w:val="28"/>
          <w:lang w:eastAsia="ru-RU"/>
        </w:rPr>
        <w:t xml:space="preserve"> - Служащие, занятые подготовкой и оформлением документации, учетом и обслуживанием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5">
        <w:r>
          <w:rPr>
            <w:rStyle w:val="Style13"/>
            <w:sz w:val="28"/>
            <w:szCs w:val="28"/>
            <w:lang w:eastAsia="ru-RU"/>
          </w:rPr>
          <w:t>5</w:t>
        </w:r>
      </w:hyperlink>
      <w:r>
        <w:rPr>
          <w:sz w:val="28"/>
          <w:szCs w:val="28"/>
          <w:lang w:eastAsia="ru-RU"/>
        </w:rPr>
        <w:t xml:space="preserve"> -  Работники сферы обслуживания и торговли, охраны граждан и собственности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6">
        <w:r>
          <w:rPr>
            <w:rStyle w:val="Style13"/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 xml:space="preserve"> -  Квалифицированные работники сельского и лесного хозяйства, рыбоводства и рыболовства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7">
        <w:r>
          <w:rPr>
            <w:rStyle w:val="Style13"/>
            <w:sz w:val="28"/>
            <w:szCs w:val="28"/>
            <w:lang w:eastAsia="ru-RU"/>
          </w:rPr>
          <w:t>7</w:t>
        </w:r>
      </w:hyperlink>
      <w:r>
        <w:rPr>
          <w:sz w:val="28"/>
          <w:szCs w:val="28"/>
          <w:lang w:eastAsia="ru-RU"/>
        </w:rPr>
        <w:t xml:space="preserve"> -  Квалифицированные рабочие промышленности, строительства, транспорта и рабочие родственных занятий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8">
        <w:r>
          <w:rPr>
            <w:rStyle w:val="Style13"/>
            <w:sz w:val="28"/>
            <w:szCs w:val="28"/>
            <w:lang w:eastAsia="ru-RU"/>
          </w:rPr>
          <w:t>8</w:t>
        </w:r>
      </w:hyperlink>
      <w:r>
        <w:rPr>
          <w:sz w:val="28"/>
          <w:szCs w:val="28"/>
          <w:lang w:eastAsia="ru-RU"/>
        </w:rPr>
        <w:t xml:space="preserve"> - Операторы производственных установок и машин, сборщики и водители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9">
        <w:r>
          <w:rPr>
            <w:rStyle w:val="Style13"/>
            <w:sz w:val="28"/>
            <w:szCs w:val="28"/>
            <w:lang w:eastAsia="ru-RU"/>
          </w:rPr>
          <w:t>9</w:t>
        </w:r>
      </w:hyperlink>
      <w:r>
        <w:rPr>
          <w:sz w:val="28"/>
          <w:szCs w:val="28"/>
          <w:lang w:eastAsia="ru-RU"/>
        </w:rPr>
        <w:t xml:space="preserve"> - Неквалифицированные рабочие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w:anchor="sub_10">
        <w:r>
          <w:rPr>
            <w:rStyle w:val="Style13"/>
            <w:sz w:val="28"/>
            <w:szCs w:val="28"/>
            <w:lang w:eastAsia="ru-RU"/>
          </w:rPr>
          <w:t>0</w:t>
        </w:r>
      </w:hyperlink>
      <w:r>
        <w:rPr>
          <w:sz w:val="28"/>
          <w:szCs w:val="28"/>
          <w:lang w:eastAsia="ru-RU"/>
        </w:rPr>
        <w:t xml:space="preserve"> - Военнослужащие.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r>
        <w:rPr>
          <w:sz w:val="28"/>
          <w:szCs w:val="28"/>
          <w:lang w:eastAsia="ru-RU"/>
        </w:rPr>
        <w:t xml:space="preserve">Например, если должность является руководящей, то первая цифра кода будет начинаться с </w:t>
      </w:r>
      <w:r>
        <w:rPr>
          <w:b/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если должность предполагает наличие высшего образования или учёной степени, то код следует искать в основной группе </w:t>
      </w:r>
      <w:hyperlink r:id="rId3">
        <w:r>
          <w:rPr>
            <w:rStyle w:val="Style13"/>
            <w:sz w:val="28"/>
            <w:szCs w:val="28"/>
            <w:lang w:eastAsia="ru-RU"/>
          </w:rPr>
          <w:t>2</w:t>
        </w:r>
      </w:hyperlink>
      <w:r>
        <w:rPr>
          <w:sz w:val="28"/>
          <w:szCs w:val="28"/>
          <w:lang w:eastAsia="ru-RU"/>
        </w:rPr>
        <w:t xml:space="preserve"> "Специалисты высшего уровня квалификации", а если профессия работника - уборщик в офисе, то код выполняемой функции для него будет в основной группе </w:t>
      </w:r>
      <w:hyperlink r:id="rId4">
        <w:r>
          <w:rPr>
            <w:rStyle w:val="Style13"/>
            <w:sz w:val="28"/>
            <w:szCs w:val="28"/>
            <w:lang w:eastAsia="ru-RU"/>
          </w:rPr>
          <w:t>9</w:t>
        </w:r>
      </w:hyperlink>
      <w:r>
        <w:rPr>
          <w:sz w:val="28"/>
          <w:szCs w:val="28"/>
          <w:lang w:eastAsia="ru-RU"/>
        </w:rPr>
        <w:t xml:space="preserve"> "Неквалифицированные рабочие".</w:t>
      </w:r>
    </w:p>
    <w:p>
      <w:pPr>
        <w:pStyle w:val="Normal"/>
        <w:suppressAutoHyphens w:val="false"/>
        <w:autoSpaceDE w:val="false"/>
        <w:ind w:firstLine="720"/>
        <w:jc w:val="both"/>
        <w:rPr>
          <w:b/>
          <w:b/>
          <w:color w:val="C00000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  <w:lang w:eastAsia="ru-RU"/>
        </w:rPr>
        <w:t>Вторая цифра кода указывает на подгруппу внутри основной группы!</w:t>
      </w:r>
    </w:p>
    <w:p>
      <w:pPr>
        <w:pStyle w:val="Normal"/>
        <w:suppressAutoHyphens w:val="false"/>
        <w:autoSpaceDE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Она отражает принадлежность занятий к сфере или области деятельности и специфику занятий исходя из области требуемых знаний. 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r>
        <w:rPr>
          <w:sz w:val="28"/>
          <w:szCs w:val="28"/>
          <w:lang w:eastAsia="ru-RU"/>
        </w:rPr>
        <w:t xml:space="preserve">Например, в основной группе </w:t>
      </w:r>
      <w:hyperlink r:id="rId5">
        <w:r>
          <w:rPr>
            <w:rStyle w:val="Style13"/>
            <w:sz w:val="28"/>
            <w:szCs w:val="28"/>
            <w:lang w:eastAsia="ru-RU"/>
          </w:rPr>
          <w:t>2</w:t>
        </w:r>
      </w:hyperlink>
      <w:r>
        <w:rPr>
          <w:sz w:val="28"/>
          <w:szCs w:val="28"/>
          <w:lang w:eastAsia="ru-RU"/>
        </w:rPr>
        <w:t xml:space="preserve"> "Специалисты высшего уровня квалификации" подразделяются на следующие подгруппы: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6">
        <w:r>
          <w:rPr>
            <w:rStyle w:val="Style13"/>
            <w:color w:val="C00000"/>
            <w:sz w:val="28"/>
            <w:szCs w:val="28"/>
            <w:lang w:eastAsia="ru-RU"/>
          </w:rPr>
          <w:t>21</w:t>
        </w:r>
      </w:hyperlink>
      <w:r>
        <w:rPr>
          <w:sz w:val="28"/>
          <w:szCs w:val="28"/>
          <w:lang w:eastAsia="ru-RU"/>
        </w:rPr>
        <w:t> Специалисты в области науки и техники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7">
        <w:r>
          <w:rPr>
            <w:rStyle w:val="Style13"/>
            <w:color w:val="C00000"/>
            <w:sz w:val="28"/>
            <w:szCs w:val="28"/>
            <w:lang w:eastAsia="ru-RU"/>
          </w:rPr>
          <w:t>22</w:t>
        </w:r>
      </w:hyperlink>
      <w:r>
        <w:rPr>
          <w:sz w:val="28"/>
          <w:szCs w:val="28"/>
          <w:lang w:eastAsia="ru-RU"/>
        </w:rPr>
        <w:t> Специалисты в области здравоохранения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8">
        <w:r>
          <w:rPr>
            <w:rStyle w:val="Style13"/>
            <w:color w:val="C00000"/>
            <w:sz w:val="28"/>
            <w:szCs w:val="28"/>
            <w:lang w:eastAsia="ru-RU"/>
          </w:rPr>
          <w:t>23</w:t>
        </w:r>
      </w:hyperlink>
      <w:r>
        <w:rPr>
          <w:sz w:val="28"/>
          <w:szCs w:val="28"/>
          <w:lang w:eastAsia="ru-RU"/>
        </w:rPr>
        <w:t> Специалисты в области образования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9">
        <w:r>
          <w:rPr>
            <w:rStyle w:val="Style13"/>
            <w:color w:val="C00000"/>
            <w:sz w:val="28"/>
            <w:szCs w:val="28"/>
            <w:lang w:eastAsia="ru-RU"/>
          </w:rPr>
          <w:t>24</w:t>
        </w:r>
      </w:hyperlink>
      <w:r>
        <w:rPr>
          <w:sz w:val="28"/>
          <w:szCs w:val="28"/>
          <w:lang w:eastAsia="ru-RU"/>
        </w:rPr>
        <w:t> Специалисты в сфере бизнеса и администрирования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10">
        <w:r>
          <w:rPr>
            <w:rStyle w:val="Style13"/>
            <w:color w:val="C00000"/>
            <w:sz w:val="28"/>
            <w:szCs w:val="28"/>
            <w:lang w:eastAsia="ru-RU"/>
          </w:rPr>
          <w:t>25</w:t>
        </w:r>
      </w:hyperlink>
      <w:r>
        <w:rPr>
          <w:sz w:val="28"/>
          <w:szCs w:val="28"/>
          <w:lang w:eastAsia="ru-RU"/>
        </w:rPr>
        <w:t> Специалисты по информационно-коммуникационным технологиям (ИКТ)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11">
        <w:r>
          <w:rPr>
            <w:rStyle w:val="Style13"/>
            <w:color w:val="C00000"/>
            <w:sz w:val="28"/>
            <w:szCs w:val="28"/>
            <w:lang w:eastAsia="ru-RU"/>
          </w:rPr>
          <w:t>2</w:t>
        </w:r>
      </w:hyperlink>
      <w:r>
        <w:rPr>
          <w:color w:val="C00000"/>
          <w:sz w:val="28"/>
          <w:szCs w:val="28"/>
          <w:lang w:eastAsia="ru-RU"/>
        </w:rPr>
        <w:t xml:space="preserve">6 </w:t>
      </w:r>
      <w:r>
        <w:rPr>
          <w:sz w:val="28"/>
          <w:szCs w:val="28"/>
          <w:lang w:eastAsia="ru-RU"/>
        </w:rPr>
        <w:t>Специалисты в области права, гуманитарных областей и культуры</w:t>
      </w:r>
    </w:p>
    <w:p>
      <w:pPr>
        <w:pStyle w:val="Normal"/>
        <w:suppressAutoHyphens w:val="false"/>
        <w:autoSpaceDE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каждом последующем уровне сгруппированы виды занятий с учетом более глубокой специализации.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r>
        <w:rPr>
          <w:b/>
          <w:color w:val="C00000"/>
          <w:sz w:val="28"/>
          <w:szCs w:val="28"/>
          <w:lang w:eastAsia="ru-RU"/>
        </w:rPr>
        <w:t xml:space="preserve">Третья цифра кода указывает на принадлежность к малой группе! 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r>
        <w:rPr>
          <w:sz w:val="28"/>
          <w:szCs w:val="28"/>
          <w:lang w:eastAsia="ru-RU"/>
        </w:rPr>
        <w:t xml:space="preserve">Например, занятия подгруппы </w:t>
      </w:r>
      <w:hyperlink r:id="rId12">
        <w:r>
          <w:rPr>
            <w:rStyle w:val="Style13"/>
            <w:sz w:val="28"/>
            <w:szCs w:val="28"/>
            <w:lang w:eastAsia="ru-RU"/>
          </w:rPr>
          <w:t>22</w:t>
        </w:r>
      </w:hyperlink>
      <w:r>
        <w:rPr>
          <w:sz w:val="28"/>
          <w:szCs w:val="28"/>
          <w:lang w:eastAsia="ru-RU"/>
        </w:rPr>
        <w:t> «Специалисты в области здравоохранения» подразделяются на следующие малые группы:</w:t>
      </w:r>
    </w:p>
    <w:p>
      <w:pPr>
        <w:pStyle w:val="Style29"/>
        <w:jc w:val="both"/>
        <w:rPr/>
      </w:pPr>
      <w:r>
        <w:rPr>
          <w:rFonts w:eastAsia="Times New Roman" w:cs="Times New Roman" w:ascii="Times New Roman" w:hAnsi="Times New Roman"/>
          <w:color w:val="C00000"/>
          <w:sz w:val="28"/>
          <w:szCs w:val="28"/>
        </w:rPr>
        <w:t xml:space="preserve">           </w:t>
      </w:r>
      <w:hyperlink r:id="rId13">
        <w:r>
          <w:rPr>
            <w:rStyle w:val="Style13"/>
            <w:rFonts w:cs="Times New Roman" w:ascii="Times New Roman" w:hAnsi="Times New Roman"/>
            <w:color w:val="C00000"/>
            <w:sz w:val="28"/>
            <w:szCs w:val="28"/>
          </w:rPr>
          <w:t>221</w:t>
        </w:r>
      </w:hyperlink>
      <w:r>
        <w:rPr>
          <w:rFonts w:cs="Times New Roman" w:ascii="Times New Roman" w:hAnsi="Times New Roman"/>
          <w:sz w:val="28"/>
          <w:szCs w:val="28"/>
        </w:rPr>
        <w:t> Врачи</w:t>
      </w:r>
    </w:p>
    <w:p>
      <w:pPr>
        <w:pStyle w:val="Style2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  <w:hyperlink r:id="rId14">
        <w:r>
          <w:rPr>
            <w:rStyle w:val="Style13"/>
            <w:rFonts w:cs="Times New Roman" w:ascii="Times New Roman" w:hAnsi="Times New Roman"/>
            <w:color w:val="C00000"/>
            <w:sz w:val="28"/>
            <w:szCs w:val="28"/>
          </w:rPr>
          <w:t>222</w:t>
        </w:r>
      </w:hyperlink>
      <w:r>
        <w:rPr>
          <w:rFonts w:cs="Times New Roman" w:ascii="Times New Roman" w:hAnsi="Times New Roman"/>
          <w:color w:val="C00000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Специалисты по медицинскому уходу и акушерству</w:t>
      </w:r>
    </w:p>
    <w:p>
      <w:pPr>
        <w:pStyle w:val="Style29"/>
        <w:jc w:val="both"/>
        <w:rPr/>
      </w:pPr>
      <w:r>
        <w:rPr>
          <w:rFonts w:eastAsia="Times New Roman" w:cs="Times New Roman" w:ascii="Times New Roman" w:hAnsi="Times New Roman"/>
          <w:color w:val="C00000"/>
          <w:sz w:val="28"/>
          <w:szCs w:val="28"/>
        </w:rPr>
        <w:t xml:space="preserve">           </w:t>
      </w:r>
      <w:hyperlink r:id="rId15">
        <w:r>
          <w:rPr>
            <w:rStyle w:val="Style13"/>
            <w:rFonts w:cs="Times New Roman" w:ascii="Times New Roman" w:hAnsi="Times New Roman"/>
            <w:color w:val="C00000"/>
            <w:sz w:val="28"/>
            <w:szCs w:val="28"/>
          </w:rPr>
          <w:t>223</w:t>
        </w:r>
      </w:hyperlink>
      <w:r>
        <w:rPr>
          <w:rFonts w:cs="Times New Roman" w:ascii="Times New Roman" w:hAnsi="Times New Roman"/>
          <w:color w:val="C00000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Высококвалифицированные целители и практики альтернативной и народной медицины</w:t>
      </w:r>
    </w:p>
    <w:p>
      <w:pPr>
        <w:pStyle w:val="Style29"/>
        <w:rPr/>
      </w:pPr>
      <w:r>
        <w:rPr>
          <w:rFonts w:eastAsia="Times New Roman" w:cs="Times New Roman" w:ascii="Times New Roman" w:hAnsi="Times New Roman"/>
          <w:color w:val="C00000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224 </w:t>
      </w:r>
      <w:r>
        <w:rPr>
          <w:rFonts w:cs="Times New Roman" w:ascii="Times New Roman" w:hAnsi="Times New Roman"/>
          <w:sz w:val="28"/>
          <w:szCs w:val="28"/>
        </w:rPr>
        <w:t>Врачи скорой медицинской помощи и парамедики</w:t>
      </w:r>
    </w:p>
    <w:p>
      <w:pPr>
        <w:pStyle w:val="Style2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color w:val="C00000"/>
          <w:sz w:val="28"/>
          <w:szCs w:val="28"/>
        </w:rPr>
        <w:t>225</w:t>
      </w:r>
      <w:r>
        <w:rPr>
          <w:rFonts w:cs="Times New Roman" w:ascii="Times New Roman" w:hAnsi="Times New Roman"/>
          <w:sz w:val="28"/>
          <w:szCs w:val="28"/>
        </w:rPr>
        <w:t xml:space="preserve"> Ветеринарные врачи</w:t>
      </w:r>
    </w:p>
    <w:p>
      <w:pPr>
        <w:pStyle w:val="Style2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color w:val="C00000"/>
          <w:sz w:val="28"/>
          <w:szCs w:val="28"/>
        </w:rPr>
        <w:t>226</w:t>
      </w:r>
      <w:r>
        <w:rPr>
          <w:rFonts w:cs="Times New Roman" w:ascii="Times New Roman" w:hAnsi="Times New Roman"/>
          <w:sz w:val="28"/>
          <w:szCs w:val="28"/>
        </w:rPr>
        <w:t xml:space="preserve"> Другие специалисты в области здравоохранения</w:t>
      </w:r>
    </w:p>
    <w:p>
      <w:pPr>
        <w:pStyle w:val="Normal"/>
        <w:suppressAutoHyphens w:val="false"/>
        <w:autoSpaceDE w:val="false"/>
        <w:ind w:firstLine="720"/>
        <w:jc w:val="both"/>
        <w:rPr>
          <w:b/>
          <w:b/>
          <w:color w:val="C00000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  <w:lang w:eastAsia="ru-RU"/>
        </w:rPr>
        <w:t xml:space="preserve">Четвёртая цифра кода указывает на принадлежность к начальной группе в рамках малой группы! </w:t>
      </w:r>
    </w:p>
    <w:p>
      <w:pPr>
        <w:pStyle w:val="Normal"/>
        <w:suppressAutoHyphens w:val="false"/>
        <w:autoSpaceDE w:val="false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этом уровне самая подробная детализация. 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Например, в малой группе </w:t>
      </w:r>
      <w:hyperlink r:id="rId16">
        <w:r>
          <w:rPr>
            <w:rStyle w:val="Style13"/>
            <w:color w:val="000000"/>
            <w:sz w:val="28"/>
            <w:szCs w:val="28"/>
            <w:lang w:eastAsia="ru-RU"/>
          </w:rPr>
          <w:t>241</w:t>
        </w:r>
      </w:hyperlink>
      <w:r>
        <w:rPr>
          <w:color w:val="000000"/>
          <w:sz w:val="28"/>
          <w:szCs w:val="28"/>
          <w:lang w:eastAsia="ru-RU"/>
        </w:rPr>
        <w:t xml:space="preserve"> "Специалисты по финансовой деятельности" присутствуют следующие коды наименований начальных групп занятий: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17">
        <w:r>
          <w:rPr>
            <w:rStyle w:val="Style13"/>
            <w:color w:val="C00000"/>
            <w:sz w:val="28"/>
            <w:szCs w:val="28"/>
            <w:lang w:eastAsia="ru-RU"/>
          </w:rPr>
          <w:t>2411</w:t>
        </w:r>
      </w:hyperlink>
      <w:r>
        <w:rPr>
          <w:color w:val="000000"/>
          <w:sz w:val="28"/>
          <w:szCs w:val="28"/>
          <w:lang w:eastAsia="ru-RU"/>
        </w:rPr>
        <w:t> Бухгалтеры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18">
        <w:r>
          <w:rPr>
            <w:rStyle w:val="Style13"/>
            <w:color w:val="C00000"/>
            <w:sz w:val="28"/>
            <w:szCs w:val="28"/>
            <w:lang w:eastAsia="ru-RU"/>
          </w:rPr>
          <w:t>2412</w:t>
        </w:r>
      </w:hyperlink>
      <w:r>
        <w:rPr>
          <w:color w:val="000000"/>
          <w:sz w:val="28"/>
          <w:szCs w:val="28"/>
          <w:lang w:eastAsia="ru-RU"/>
        </w:rPr>
        <w:t> Консультанты по финансовым вопросам и капиталовложениям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19">
        <w:r>
          <w:rPr>
            <w:rStyle w:val="Style13"/>
            <w:color w:val="C00000"/>
            <w:sz w:val="28"/>
            <w:szCs w:val="28"/>
            <w:lang w:eastAsia="ru-RU"/>
          </w:rPr>
          <w:t>2413</w:t>
        </w:r>
      </w:hyperlink>
      <w:r>
        <w:rPr>
          <w:color w:val="000000"/>
          <w:sz w:val="28"/>
          <w:szCs w:val="28"/>
          <w:lang w:eastAsia="ru-RU"/>
        </w:rPr>
        <w:t> Финансовые аналитики</w:t>
      </w:r>
    </w:p>
    <w:p>
      <w:pPr>
        <w:pStyle w:val="Normal"/>
        <w:suppressAutoHyphens w:val="false"/>
        <w:autoSpaceDE w:val="false"/>
        <w:ind w:firstLine="720"/>
        <w:jc w:val="both"/>
        <w:rPr/>
      </w:pPr>
      <w:hyperlink r:id="rId20">
        <w:r>
          <w:rPr>
            <w:rStyle w:val="Style13"/>
            <w:color w:val="C00000"/>
            <w:sz w:val="28"/>
            <w:szCs w:val="28"/>
            <w:lang w:eastAsia="ru-RU"/>
          </w:rPr>
          <w:t>2414</w:t>
        </w:r>
      </w:hyperlink>
      <w:r>
        <w:rPr>
          <w:color w:val="000000"/>
          <w:sz w:val="28"/>
          <w:szCs w:val="28"/>
          <w:lang w:eastAsia="ru-RU"/>
        </w:rPr>
        <w:t> Оценщики и эксперты</w:t>
      </w:r>
    </w:p>
    <w:p>
      <w:pPr>
        <w:pStyle w:val="Normal"/>
        <w:autoSpaceDE w:val="false"/>
        <w:ind w:left="426" w:hanging="0"/>
        <w:jc w:val="both"/>
        <w:rPr/>
      </w:pPr>
      <w:r>
        <w:rPr>
          <w:sz w:val="28"/>
          <w:szCs w:val="28"/>
          <w:lang w:eastAsia="ru-RU"/>
        </w:rPr>
        <w:t>Примеры заполнения кодов выполняемых функций в СЗВ-ТД:</w:t>
      </w:r>
    </w:p>
    <w:p>
      <w:pPr>
        <w:pStyle w:val="Normal"/>
        <w:autoSpaceDE w:val="false"/>
        <w:ind w:left="426" w:hanging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tbl>
      <w:tblPr>
        <w:tblW w:w="10289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49"/>
        <w:gridCol w:w="5140"/>
      </w:tblGrid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Вид трудовой деятельности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Код выполняемой функции</w:t>
            </w:r>
          </w:p>
        </w:tc>
      </w:tr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lang w:eastAsia="ru-RU"/>
              </w:rPr>
            </w:pPr>
            <w:r>
              <w:rPr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lang w:eastAsia="ru-RU"/>
              </w:rPr>
              <w:t>1120.9</w:t>
            </w:r>
          </w:p>
        </w:tc>
      </w:tr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lang w:eastAsia="ru-RU"/>
              </w:rPr>
            </w:pPr>
            <w:r>
              <w:rPr>
                <w:lang w:eastAsia="ru-RU"/>
              </w:rPr>
              <w:t>Педагогические работники в средней школе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lang w:eastAsia="ru-RU"/>
              </w:rPr>
              <w:t>2330.6</w:t>
            </w:r>
          </w:p>
        </w:tc>
      </w:tr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Государственные служащие по социальному и пенсионному обеспечению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3353.3</w:t>
            </w:r>
          </w:p>
        </w:tc>
      </w:tr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Кассиры банков и работники других родственных занятий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4211.4</w:t>
            </w:r>
          </w:p>
        </w:tc>
      </w:tr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Продавцы и помощники продавцов магазинов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5223.5</w:t>
            </w:r>
          </w:p>
        </w:tc>
      </w:tr>
      <w:tr>
        <w:trPr/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Грузчики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9333.3</w:t>
            </w:r>
          </w:p>
        </w:tc>
      </w:tr>
    </w:tbl>
    <w:p>
      <w:pPr>
        <w:pStyle w:val="Normal"/>
        <w:autoSpaceDE w:val="false"/>
        <w:ind w:left="426" w:hanging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autoSpaceDE w:val="false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Обращаем внимание! ОКЗ не содержит коды конкретных должностей или профессий. Объектами классификации в ОКЗ являются занятия. Под занятием понимается вид трудовой деятельности, осуществляемой на рабочем месте. Поэтому наименование должностей в ОКЗ не всегда будут совпадать с наименованиями штатных единиц.</w:t>
      </w:r>
    </w:p>
    <w:p>
      <w:pPr>
        <w:pStyle w:val="Normal"/>
        <w:autoSpaceDE w:val="false"/>
        <w:ind w:firstLine="426"/>
        <w:jc w:val="both"/>
        <w:rPr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 xml:space="preserve">С целью своевременного представления </w:t>
      </w:r>
      <w:r>
        <w:rPr>
          <w:sz w:val="28"/>
          <w:szCs w:val="28"/>
          <w:lang w:eastAsia="ru-RU"/>
        </w:rPr>
        <w:t xml:space="preserve">сведений о трудовой деятельности с       1 июля 2021 года </w:t>
      </w:r>
      <w:r>
        <w:rPr>
          <w:b/>
          <w:color w:val="FF0000"/>
          <w:sz w:val="28"/>
          <w:szCs w:val="28"/>
          <w:lang w:eastAsia="ru-RU"/>
        </w:rPr>
        <w:t xml:space="preserve">рекомендуем заблаговременно определить коды выполняемых функций </w:t>
      </w:r>
      <w:r>
        <w:rPr>
          <w:sz w:val="28"/>
          <w:szCs w:val="28"/>
          <w:lang w:eastAsia="ru-RU"/>
        </w:rPr>
        <w:t xml:space="preserve">по должностям (профессиям) </w:t>
      </w:r>
      <w:r>
        <w:rPr>
          <w:b/>
          <w:color w:val="FF0000"/>
          <w:sz w:val="28"/>
          <w:szCs w:val="28"/>
          <w:lang w:eastAsia="ru-RU"/>
        </w:rPr>
        <w:t>согласно штатному расписанию</w:t>
      </w:r>
      <w:r>
        <w:rPr>
          <w:sz w:val="28"/>
          <w:szCs w:val="28"/>
          <w:lang w:eastAsia="ru-RU"/>
        </w:rPr>
        <w:t>.</w:t>
      </w:r>
    </w:p>
    <w:p>
      <w:pPr>
        <w:pStyle w:val="Normal"/>
        <w:autoSpaceDE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Напоминаем, что сведения по форме СЗВ-ТД представляются на застрахованных лиц, с которыми заключены или прекращены </w:t>
      </w:r>
      <w:r>
        <w:rPr>
          <w:b/>
          <w:sz w:val="28"/>
          <w:szCs w:val="28"/>
          <w:lang w:eastAsia="ru-RU"/>
        </w:rPr>
        <w:t>трудовые отношения</w:t>
      </w:r>
      <w:r>
        <w:rPr>
          <w:sz w:val="28"/>
          <w:szCs w:val="28"/>
          <w:lang w:eastAsia="ru-RU"/>
        </w:rPr>
        <w:t xml:space="preserve"> в соответствии с Трудовым кодексом Российской Федерации, </w:t>
      </w:r>
      <w:r>
        <w:rPr>
          <w:b/>
          <w:sz w:val="28"/>
          <w:szCs w:val="28"/>
          <w:lang w:eastAsia="ru-RU"/>
        </w:rPr>
        <w:t>включая лиц, работающих по совместительству и на дистанционной работе</w:t>
      </w:r>
      <w:r>
        <w:rPr>
          <w:sz w:val="28"/>
          <w:szCs w:val="28"/>
          <w:lang w:eastAsia="ru-RU"/>
        </w:rPr>
        <w:t>.</w:t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Способ представления отчетности СЗВ-ТД зависит от количества застрахованных лиц, на которых представляются сведения. В случае, если сведений 25 и более, отчетность представляется только в форме электронного документа. Сведения на 24 и менее застрахованных лиц Законом разрешено представлять как в электронной форме, так и в письменной (бумажной) форме.</w:t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связи с проведением неотложных мероприятий по предупреждению распространения коронавирусной инфекции, когда посещение территориальных органов ПФР ограничено, рекомендуем страхователям подключиться к системе электронного документооборота ПФР.</w:t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Сведения представляются </w:t>
      </w:r>
      <w:r>
        <w:rPr>
          <w:sz w:val="28"/>
          <w:szCs w:val="28"/>
          <w:lang w:eastAsia="ru-RU"/>
        </w:rPr>
        <w:t>в электронном виде через специализированного оператора связи, 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уполномоченных представителей и через «Кабинет страхователя» на официальном сайте ПФР (pfr.gov.ru</w:t>
      </w:r>
      <w:r>
        <w:rPr>
          <w:color w:val="000000"/>
          <w:sz w:val="28"/>
          <w:szCs w:val="28"/>
        </w:rPr>
        <w:t>). В бумажном виде сведения представляются лично в клиентскую службу ПФР.</w:t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b/>
          <w:bCs/>
          <w:color w:val="FF0000"/>
        </w:rPr>
        <w:t>За непредставление  работодателем сведений в ПФР, представление сведений с нарушением срока или представление недостоверных сведений предусмотрена административная ответственность.</w:t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color w:val="365F91"/>
          <w:sz w:val="22"/>
          <w:szCs w:val="22"/>
        </w:rPr>
        <w:t xml:space="preserve">ПОДРОБНЕЕ – НА ОФИЦИАЛЬНОМ САЙТЕ ПЕНСИОННОГО ФОНДА РОССИИ </w:t>
      </w:r>
      <w:r>
        <w:rPr>
          <w:rFonts w:cs="Arial" w:ascii="Arial" w:hAnsi="Arial"/>
          <w:b/>
          <w:bCs/>
          <w:color w:val="365F91"/>
          <w:sz w:val="22"/>
          <w:szCs w:val="22"/>
          <w:lang w:val="en-US"/>
        </w:rPr>
        <w:t>PFR</w:t>
      </w:r>
      <w:r>
        <w:rPr>
          <w:rFonts w:cs="Arial" w:ascii="Arial" w:hAnsi="Arial"/>
          <w:b/>
          <w:bCs/>
          <w:color w:val="365F91"/>
          <w:sz w:val="22"/>
          <w:szCs w:val="22"/>
        </w:rPr>
        <w:t>.</w:t>
      </w:r>
      <w:r>
        <w:rPr>
          <w:rFonts w:cs="Arial" w:ascii="Arial" w:hAnsi="Arial"/>
          <w:b/>
          <w:bCs/>
          <w:color w:val="365F91"/>
          <w:sz w:val="22"/>
          <w:szCs w:val="22"/>
          <w:lang w:val="en-US"/>
        </w:rPr>
        <w:t>GOV</w:t>
      </w:r>
      <w:r>
        <w:rPr>
          <w:rFonts w:cs="Arial" w:ascii="Arial" w:hAnsi="Arial"/>
          <w:b/>
          <w:bCs/>
          <w:color w:val="365F91"/>
          <w:sz w:val="22"/>
          <w:szCs w:val="22"/>
        </w:rPr>
        <w:t>.</w:t>
      </w:r>
      <w:r>
        <w:rPr>
          <w:rFonts w:cs="Arial" w:ascii="Arial" w:hAnsi="Arial"/>
          <w:b/>
          <w:bCs/>
          <w:color w:val="365F91"/>
          <w:sz w:val="22"/>
          <w:szCs w:val="22"/>
          <w:lang w:val="en-US"/>
        </w:rPr>
        <w:t>RU</w:t>
      </w:r>
    </w:p>
    <w:sectPr>
      <w:footerReference w:type="default" r:id="rId21"/>
      <w:footerReference w:type="first" r:id="rId22"/>
      <w:type w:val="nextPage"/>
      <w:pgSz w:w="11906" w:h="16838"/>
      <w:pgMar w:left="851" w:right="566" w:header="0" w:top="510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Normal"/>
      <w:autoSpaceDE w:val="false"/>
      <w:jc w:val="both"/>
      <w:rPr>
        <w:sz w:val="20"/>
        <w:szCs w:val="20"/>
      </w:rPr>
    </w:pPr>
    <w:r>
      <w:rPr>
        <w:rStyle w:val="Style12"/>
        <w:sz w:val="20"/>
        <w:szCs w:val="20"/>
      </w:rPr>
      <w:t xml:space="preserve"> </w:t>
    </w:r>
    <w:r>
      <w:rPr>
        <w:rStyle w:val="Style12"/>
        <w:sz w:val="20"/>
        <w:szCs w:val="20"/>
      </w:rPr>
      <w:t>Дополнительную информацию Вы можете получить в Управлениях ПФР по месту своей регистрации.</w:t>
    </w:r>
  </w:p>
  <w:p>
    <w:pPr>
      <w:pStyle w:val="Style26"/>
      <w:rPr>
        <w:rStyle w:val="Style12"/>
        <w:i w:val="false"/>
        <w:i w:val="false"/>
        <w:iCs w:val="false"/>
        <w:sz w:val="20"/>
        <w:szCs w:val="20"/>
      </w:rPr>
    </w:pPr>
    <w:r>
      <w:rPr>
        <w:rStyle w:val="Style12"/>
        <w:sz w:val="20"/>
        <w:szCs w:val="20"/>
      </w:rPr>
      <w:t>Страхователи городского округа Саранск могут обращаться по телефонам</w:t>
    </w:r>
    <w:r>
      <w:rPr>
        <w:rStyle w:val="Style12"/>
        <w:i w:val="false"/>
        <w:iCs w:val="false"/>
        <w:sz w:val="20"/>
        <w:szCs w:val="20"/>
      </w:rPr>
      <w:t xml:space="preserve"> «Горячей» линии 29-30-48, 29-30-97, </w:t>
    </w:r>
  </w:p>
  <w:p>
    <w:pPr>
      <w:pStyle w:val="Style26"/>
      <w:rPr/>
    </w:pPr>
    <w:r>
      <w:rPr>
        <w:rStyle w:val="Style12"/>
        <w:i w:val="false"/>
        <w:iCs w:val="false"/>
        <w:sz w:val="20"/>
        <w:szCs w:val="20"/>
      </w:rPr>
      <w:t>24-20-23.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i w:val="false"/>
        <w:b/>
        <w:szCs w:val="28"/>
        <w:lang w:eastAsia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Style22"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paragraph" w:styleId="2">
    <w:name w:val="Заголовок 2"/>
    <w:basedOn w:val="Style21"/>
    <w:next w:val="Style2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21"/>
    <w:next w:val="Style2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i w:val="false"/>
      <w:sz w:val="28"/>
      <w:szCs w:val="28"/>
      <w:lang w:eastAsia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Times New Roman" w:cs="Times New Roman"/>
      <w:b/>
      <w:bCs/>
      <w:sz w:val="48"/>
      <w:szCs w:val="48"/>
      <w:lang w:eastAsia="zh-CN"/>
    </w:rPr>
  </w:style>
  <w:style w:type="character" w:styleId="Style12">
    <w:name w:val="Выделение"/>
    <w:basedOn w:val="Style11"/>
    <w:rPr>
      <w:i/>
      <w:iCs/>
    </w:rPr>
  </w:style>
  <w:style w:type="character" w:styleId="Style13">
    <w:name w:val="Интернет-ссылка"/>
    <w:basedOn w:val="Style11"/>
    <w:rPr>
      <w:color w:val="0000FF"/>
      <w:u w:val="single"/>
    </w:rPr>
  </w:style>
  <w:style w:type="character" w:styleId="Style14">
    <w:name w:val="Цветовое выделение для Текст"/>
    <w:qFormat/>
    <w:rPr>
      <w:sz w:val="24"/>
    </w:rPr>
  </w:style>
  <w:style w:type="character" w:styleId="Style15">
    <w:name w:val="Нижний колонтитул Знак"/>
    <w:basedOn w:val="Style1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>
    <w:name w:val="Основной текст Знак"/>
    <w:basedOn w:val="Style1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>
    <w:name w:val="Текст выноски Знак"/>
    <w:basedOn w:val="Style11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Style18">
    <w:name w:val="Верхний колонтитул Знак"/>
    <w:basedOn w:val="Style1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9">
    <w:name w:val="Гипертекстовая ссылка"/>
    <w:basedOn w:val="Style11"/>
    <w:qFormat/>
    <w:rPr>
      <w:color w:val="106BBE"/>
    </w:rPr>
  </w:style>
  <w:style w:type="character" w:styleId="Style20">
    <w:name w:val="Цветовое выделение"/>
    <w:qFormat/>
    <w:rPr>
      <w:b/>
      <w:bCs/>
      <w:color w:val="26282F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before="0" w:after="12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Прижатый влево"/>
    <w:basedOn w:val="Normal"/>
    <w:next w:val="Normal"/>
    <w:qFormat/>
    <w:pPr>
      <w:suppressAutoHyphens w:val="false"/>
      <w:autoSpaceDE w:val="false"/>
    </w:pPr>
    <w:rPr>
      <w:rFonts w:ascii="Arial" w:hAnsi="Arial" w:eastAsia="Calibri" w:cs="Arial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4">
    <w:name w:val="Заглавие"/>
    <w:basedOn w:val="Style21"/>
    <w:next w:val="Style22"/>
    <w:pPr>
      <w:jc w:val="center"/>
    </w:pPr>
    <w:rPr>
      <w:b/>
      <w:bCs/>
      <w:sz w:val="56"/>
      <w:szCs w:val="56"/>
    </w:rPr>
  </w:style>
  <w:style w:type="paragraph" w:styleId="Style35">
    <w:name w:val="Подзаголовок"/>
    <w:basedOn w:val="Style21"/>
    <w:next w:val="Style22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0868844.2" TargetMode="External"/><Relationship Id="rId4" Type="http://schemas.openxmlformats.org/officeDocument/2006/relationships/hyperlink" Target="garantf1://70868844.9" TargetMode="External"/><Relationship Id="rId5" Type="http://schemas.openxmlformats.org/officeDocument/2006/relationships/hyperlink" Target="garantf1://70868844.2" TargetMode="External"/><Relationship Id="rId6" Type="http://schemas.openxmlformats.org/officeDocument/2006/relationships/hyperlink" Target="garantf1://70868844.21" TargetMode="External"/><Relationship Id="rId7" Type="http://schemas.openxmlformats.org/officeDocument/2006/relationships/hyperlink" Target="garantf1://70868844.22" TargetMode="External"/><Relationship Id="rId8" Type="http://schemas.openxmlformats.org/officeDocument/2006/relationships/hyperlink" Target="garantf1://70868844.23" TargetMode="External"/><Relationship Id="rId9" Type="http://schemas.openxmlformats.org/officeDocument/2006/relationships/hyperlink" Target="garantf1://70868844.24" TargetMode="External"/><Relationship Id="rId10" Type="http://schemas.openxmlformats.org/officeDocument/2006/relationships/hyperlink" Target="garantf1://70868844.25" TargetMode="External"/><Relationship Id="rId11" Type="http://schemas.openxmlformats.org/officeDocument/2006/relationships/hyperlink" Target="garantf1://70868844.25" TargetMode="External"/><Relationship Id="rId12" Type="http://schemas.openxmlformats.org/officeDocument/2006/relationships/hyperlink" Target="garantf1://70868844.22" TargetMode="External"/><Relationship Id="rId13" Type="http://schemas.openxmlformats.org/officeDocument/2006/relationships/hyperlink" Target="garantf1://70868844.241" TargetMode="External"/><Relationship Id="rId14" Type="http://schemas.openxmlformats.org/officeDocument/2006/relationships/hyperlink" Target="garantf1://70868844.242" TargetMode="External"/><Relationship Id="rId15" Type="http://schemas.openxmlformats.org/officeDocument/2006/relationships/hyperlink" Target="garantf1://70868844.243" TargetMode="External"/><Relationship Id="rId16" Type="http://schemas.openxmlformats.org/officeDocument/2006/relationships/hyperlink" Target="garantf1://70868844.241" TargetMode="External"/><Relationship Id="rId17" Type="http://schemas.openxmlformats.org/officeDocument/2006/relationships/hyperlink" Target="garantf1://70868844.2411" TargetMode="External"/><Relationship Id="rId18" Type="http://schemas.openxmlformats.org/officeDocument/2006/relationships/hyperlink" Target="garantf1://70868844.2412" TargetMode="External"/><Relationship Id="rId19" Type="http://schemas.openxmlformats.org/officeDocument/2006/relationships/hyperlink" Target="garantf1://70868844.2413" TargetMode="External"/><Relationship Id="rId20" Type="http://schemas.openxmlformats.org/officeDocument/2006/relationships/hyperlink" Target="garantf1://70868844.2414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2021-06-24T10:03:00Z</dcterms:created>
  <dc:creator>Морозова Елена Геннадьевна</dc:creator>
  <dc:language>ru-RU</dc:language>
  <cp:lastModifiedBy>Пронькина Наталья Сергеевна</cp:lastModifiedBy>
  <cp:lastPrinted>2020-02-05T17:17:00Z</cp:lastPrinted>
  <dcterms:modified xsi:type="dcterms:W3CDTF">2021-06-24T10:28:00Z</dcterms:modified>
  <cp:revision>4</cp:revision>
</cp:coreProperties>
</file>