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ЧТО ДЕЛАТЬ, ЕСЛИ РАБОТНИК УСТРАИВАЕТСЯ НА РАБОТУ С БУМАЖНОЙ ТРУДОВОЙ КНИЖКОЙ, А КНИГА УЧЕТА ТРУДОВЫХ КНИЖЕК И ВКЛАДЫШЕЙ В НИХ "ЗАКРЫТА"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данном случае необходимо оформить новую книгу учета движения трудовых книжек и вкладышей в них либо возобновить ведение старой книги (на усмотрение работодателя).</w:t>
        <w:br/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Правовое обоснование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Согласно п. 40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№ 225, с целью учета трудовых книжек, а также бланков трудовой книжки и вкладыша в нее у работодателей ведутся:</w:t>
        <w:br/>
        <w:t>а) приходно-расходная книга по учету бланков трудовой книжки и вкладыша в нее;</w:t>
        <w:br/>
        <w:t xml:space="preserve">б) книга учета движения трудовых книжек и вкладышей в них.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078480"/>
            <wp:effectExtent l="0" t="0" r="0" b="0"/>
            <wp:wrapSquare wrapText="largest"/>
            <wp:docPr id="1" name="Изображение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2020-10-27T11:35:34Z</dcterms:created>
  <dc:language>ru-RU</dc:language>
  <dcterms:modified xsi:type="dcterms:W3CDTF">2020-10-27T11:50:59Z</dcterms:modified>
  <cp:revision>1</cp:revision>
</cp:coreProperties>
</file>