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При заполнении заявления обратите внимание на выбор направления распоряжения средствами материнского (семейного) капитала.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Самым распространенным направлением является улучшение жилищных условий.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Распорядиться материнским капиталом на улучшение жилищных условий можно, когда ребенку, в связи с рождением (усыновлением) которого возникло право на дополнительные меры государственной поддержки, исполнится три года. Исключение – уплата первоначального взноса по жилищному кредиту или займу,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ребенка, в связи с рождением (усыновлением) которого возникло право на дополнительные меры государственной поддержки.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На какие именно улучшения жилищных условий можно направить средства материнского капитала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• </w:t>
      </w:r>
      <w:r>
        <w:rPr>
          <w:rFonts w:ascii="Liberation Sans" w:hAnsi="Liberation Sans"/>
          <w:sz w:val="24"/>
          <w:szCs w:val="24"/>
        </w:rPr>
        <w:t>приобретение жилого помещения;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• </w:t>
      </w:r>
      <w:r>
        <w:rPr>
          <w:rFonts w:ascii="Liberation Sans" w:hAnsi="Liberation Sans"/>
          <w:sz w:val="24"/>
          <w:szCs w:val="24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• </w:t>
      </w:r>
      <w:r>
        <w:rPr>
          <w:rFonts w:ascii="Liberation Sans" w:hAnsi="Liberation Sans"/>
          <w:sz w:val="24"/>
          <w:szCs w:val="24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• </w:t>
      </w:r>
      <w:r>
        <w:rPr>
          <w:rFonts w:ascii="Liberation Sans" w:hAnsi="Liberation Sans"/>
          <w:sz w:val="24"/>
          <w:szCs w:val="24"/>
        </w:rPr>
        <w:t>компенсация затрат за построенный или реконструированный объект индивидуального жилищного строительства;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• </w:t>
      </w:r>
      <w:r>
        <w:rPr>
          <w:rFonts w:ascii="Liberation Sans" w:hAnsi="Liberation Sans"/>
          <w:sz w:val="24"/>
          <w:szCs w:val="24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• </w:t>
      </w:r>
      <w:r>
        <w:rPr>
          <w:rFonts w:ascii="Liberation Sans" w:hAnsi="Liberation Sans"/>
          <w:sz w:val="24"/>
          <w:szCs w:val="24"/>
        </w:rPr>
        <w:t>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• </w:t>
      </w:r>
      <w:r>
        <w:rPr>
          <w:rFonts w:ascii="Liberation Sans" w:hAnsi="Liberation Sans"/>
          <w:sz w:val="24"/>
          <w:szCs w:val="24"/>
        </w:rPr>
        <w:t>уплата цены по договору участия в долевом строительстве;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• </w:t>
      </w:r>
      <w:r>
        <w:rPr>
          <w:rFonts w:ascii="Liberation Sans" w:hAnsi="Liberation Sans"/>
          <w:sz w:val="24"/>
          <w:szCs w:val="24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Важно отметить, что вид распоряжения средствами материнского капитала должен быть указан верно!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Приобретаемое жилое помещение должно находиться на территории России. Ремонт жилого помещения, применительно к распоряжению материнским капиталом, улучшением жилищных условий не является.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57725" cy="3104515"/>
            <wp:effectExtent l="0" t="0" r="0" b="0"/>
            <wp:wrapSquare wrapText="largest"/>
            <wp:docPr id="1" name="Изображение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2020-08-20T14:23:55Z</dcterms:modified>
  <cp:revision>1</cp:revision>
</cp:coreProperties>
</file>