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2"/>
        <w:spacing w:lineRule="auto" w:line="240" w:before="0" w:after="0"/>
        <w:jc w:val="both"/>
        <w:rPr>
          <w:sz w:val="22"/>
          <w:szCs w:val="22"/>
        </w:rPr>
      </w:pPr>
      <w:r>
        <w:rPr>
          <w:sz w:val="22"/>
          <w:szCs w:val="22"/>
        </w:rPr>
        <w:t>Материнский капитал. Как распорядиться?</w:t>
      </w:r>
    </w:p>
    <w:p>
      <w:pPr>
        <w:pStyle w:val="Style12"/>
        <w:spacing w:lineRule="auto" w:line="240" w:before="0" w:after="0"/>
        <w:jc w:val="both"/>
        <w:rPr>
          <w:sz w:val="22"/>
          <w:szCs w:val="22"/>
        </w:rPr>
      </w:pPr>
      <w:r>
        <w:rPr>
          <w:sz w:val="22"/>
          <w:szCs w:val="22"/>
        </w:rPr>
        <w:t>Большинство семей направляют средства материнского (семейного) капитала (МСК) на улучшение жилищных условий[1].</w:t>
      </w:r>
    </w:p>
    <w:p>
      <w:pPr>
        <w:pStyle w:val="Style12"/>
        <w:spacing w:lineRule="auto" w:line="240" w:before="0" w:after="0"/>
        <w:jc w:val="both"/>
        <w:rPr>
          <w:sz w:val="22"/>
          <w:szCs w:val="22"/>
        </w:rPr>
      </w:pPr>
      <w:r>
        <w:rPr>
          <w:sz w:val="22"/>
          <w:szCs w:val="22"/>
        </w:rPr>
        <w:t>Воспользоваться средствами материнского капитала для улучшения жилищных условий семья может, когда ребёнку, давшему право на сертификат, исполнится три года. Исключение – использование средств на погашение жилищных кредитов и займов или уплату первоначального взноса при получении кредита (займа) на приобретение (строительство) жилья. В таком случае воспользоваться денежными средствами возможно сразу после рождения ребёнка.</w:t>
      </w:r>
    </w:p>
    <w:p>
      <w:pPr>
        <w:pStyle w:val="Style12"/>
        <w:spacing w:lineRule="auto" w:line="240" w:before="0" w:after="0"/>
        <w:jc w:val="both"/>
        <w:rPr>
          <w:sz w:val="22"/>
          <w:szCs w:val="22"/>
        </w:rPr>
      </w:pPr>
      <w:r>
        <w:rPr>
          <w:sz w:val="22"/>
          <w:szCs w:val="22"/>
        </w:rPr>
        <w:t>Право на получение материнского (семейного) капитала имеют:</w:t>
      </w:r>
    </w:p>
    <w:p>
      <w:pPr>
        <w:pStyle w:val="Style12"/>
        <w:spacing w:lineRule="auto" w:line="240" w:before="0" w:after="0"/>
        <w:jc w:val="both"/>
        <w:rPr>
          <w:sz w:val="22"/>
          <w:szCs w:val="22"/>
        </w:rPr>
      </w:pPr>
      <w:r>
        <w:rPr>
          <w:sz w:val="22"/>
          <w:szCs w:val="22"/>
        </w:rPr>
        <w:t>-женщина, имеющая гражданство Российской Федерации, родившая (усыновившая) второго, третьего ребёнка или последующих детей начиная с 1 января 2007 года;</w:t>
      </w:r>
    </w:p>
    <w:p>
      <w:pPr>
        <w:pStyle w:val="Style12"/>
        <w:spacing w:lineRule="auto" w:line="240" w:before="0" w:after="0"/>
        <w:jc w:val="both"/>
        <w:rPr>
          <w:sz w:val="22"/>
          <w:szCs w:val="22"/>
        </w:rPr>
      </w:pPr>
      <w:r>
        <w:rPr>
          <w:sz w:val="22"/>
          <w:szCs w:val="22"/>
        </w:rPr>
        <w:t>-мужчина, имеющий гражданство Российской Федерации, являющийся единственным усыновителем второго или последующих детей, если решение суда об усыновлении вступило в законную силу начиная с 1 января 2007 года;</w:t>
      </w:r>
    </w:p>
    <w:p>
      <w:pPr>
        <w:pStyle w:val="Style12"/>
        <w:spacing w:lineRule="auto" w:line="240" w:before="0" w:after="0"/>
        <w:jc w:val="both"/>
        <w:rPr>
          <w:sz w:val="22"/>
          <w:szCs w:val="22"/>
        </w:rPr>
      </w:pPr>
      <w:r>
        <w:rPr>
          <w:sz w:val="22"/>
          <w:szCs w:val="22"/>
        </w:rPr>
        <w:t>-женщина, имеющая гражданство Российской Федерации, родившая (усыновившая) первого ребёнка начиная с 1 января 2020 года;</w:t>
      </w:r>
    </w:p>
    <w:p>
      <w:pPr>
        <w:pStyle w:val="Style12"/>
        <w:spacing w:lineRule="auto" w:line="240" w:before="0" w:after="0"/>
        <w:jc w:val="both"/>
        <w:rPr>
          <w:sz w:val="22"/>
          <w:szCs w:val="22"/>
        </w:rPr>
      </w:pPr>
      <w:r>
        <w:rPr>
          <w:sz w:val="22"/>
          <w:szCs w:val="22"/>
        </w:rPr>
        <w:t>-мужчина, имеющий гражданство Российской Федерации, являющийся единственным усыновителем первого ребёнка, если решение суда об усыновлении вступило в законную силу начиная с 1 января 2020 года;</w:t>
      </w:r>
    </w:p>
    <w:p>
      <w:pPr>
        <w:pStyle w:val="Style12"/>
        <w:spacing w:lineRule="auto" w:line="240" w:before="0" w:after="0"/>
        <w:jc w:val="both"/>
        <w:rPr>
          <w:sz w:val="22"/>
          <w:szCs w:val="22"/>
        </w:rPr>
      </w:pPr>
      <w:r>
        <w:rPr>
          <w:sz w:val="22"/>
          <w:szCs w:val="22"/>
        </w:rPr>
        <w:t>-отец (усыновитель) ребёнка независимо от наличия гражданства Российской Федерации в случае прекращения права на дополнительные меры государственной поддержки женщины, родившей (усыновившей) детей, вследствие, например, ее смерти, объявления ее умершей, лишения родительских прав в отношении ребёнка, в связи с рождением (усыновлением) которого возникло право на получение материнского капитала, совершения в отношении своего ребёнка (детей) умышленного преступления, относящегося к преступлениям против личности и повлекшего за собой лишение родительских прав или ограничение родительских прав в отношении ребёнка (детей), в случае отмены усыновления ребёнка, в связи с усыновлением которого возникло право на дополнительные меры государственной поддержки;</w:t>
      </w:r>
    </w:p>
    <w:p>
      <w:pPr>
        <w:pStyle w:val="Style12"/>
        <w:spacing w:lineRule="auto" w:line="240" w:before="0" w:after="0"/>
        <w:jc w:val="both"/>
        <w:rPr>
          <w:sz w:val="22"/>
          <w:szCs w:val="22"/>
        </w:rPr>
      </w:pPr>
      <w:r>
        <w:rPr>
          <w:sz w:val="22"/>
          <w:szCs w:val="22"/>
        </w:rPr>
        <w:t>-несовершеннолетний ребёнок (дети в равных долях) или учащийся по очной форме обучения ребёнок (дети) до достижения им (ими) 23-летнего возраста, при прекращении права на дополнительные меры государственной поддержки отца (усыновителя) или женщины, являющейся единственным родителем (усыновителем) в установленных Федеральным законом случаях.</w:t>
      </w:r>
    </w:p>
    <w:p>
      <w:pPr>
        <w:pStyle w:val="Style12"/>
        <w:spacing w:lineRule="auto" w:line="240" w:before="0" w:after="0"/>
        <w:jc w:val="both"/>
        <w:rPr>
          <w:sz w:val="22"/>
          <w:szCs w:val="22"/>
        </w:rPr>
      </w:pPr>
      <w:r>
        <w:rPr>
          <w:sz w:val="22"/>
          <w:szCs w:val="22"/>
        </w:rPr>
        <w:t>Как оформить МСК.</w:t>
      </w:r>
    </w:p>
    <w:p>
      <w:pPr>
        <w:pStyle w:val="Style12"/>
        <w:spacing w:lineRule="auto" w:line="240" w:before="0" w:after="0"/>
        <w:jc w:val="both"/>
        <w:rPr>
          <w:sz w:val="22"/>
          <w:szCs w:val="22"/>
        </w:rPr>
      </w:pPr>
      <w:r>
        <w:rPr>
          <w:sz w:val="22"/>
          <w:szCs w:val="22"/>
        </w:rPr>
        <w:t>С 15 апреля 2020 года семьи получают сертификаты на МСК в беззаявительном порядке на основании сведений ЕГР ЗАГС. После вынесения Пенсионным фондом положительного решения о предоставлении материнского капитала в личный кабинет на сайте ПФР или портале Госуслуг поступает государственный сертификат в форме электронного документа. Цифровая версия сертификата включает в себя те же сведения, которые раньше были в бумажном сертификате.</w:t>
      </w:r>
    </w:p>
    <w:p>
      <w:pPr>
        <w:pStyle w:val="Style12"/>
        <w:spacing w:lineRule="auto" w:line="240" w:before="0" w:after="0"/>
        <w:jc w:val="both"/>
        <w:rPr>
          <w:sz w:val="22"/>
          <w:szCs w:val="22"/>
        </w:rPr>
      </w:pPr>
      <w:r>
        <w:rPr>
          <w:sz w:val="22"/>
          <w:szCs w:val="22"/>
        </w:rPr>
        <w:t>Средства МСК можно направить на:</w:t>
      </w:r>
    </w:p>
    <w:p>
      <w:pPr>
        <w:pStyle w:val="Style12"/>
        <w:spacing w:lineRule="auto" w:line="240" w:before="0" w:after="0"/>
        <w:jc w:val="both"/>
        <w:rPr>
          <w:sz w:val="22"/>
          <w:szCs w:val="22"/>
        </w:rPr>
      </w:pPr>
      <w:r>
        <w:rPr>
          <w:sz w:val="22"/>
          <w:szCs w:val="22"/>
        </w:rPr>
        <w:t>-приобретение жилого помещения;</w:t>
      </w:r>
    </w:p>
    <w:p>
      <w:pPr>
        <w:pStyle w:val="Style12"/>
        <w:spacing w:lineRule="auto" w:line="240" w:before="0" w:after="0"/>
        <w:jc w:val="both"/>
        <w:rPr>
          <w:sz w:val="22"/>
          <w:szCs w:val="22"/>
        </w:rPr>
      </w:pPr>
      <w:r>
        <w:rPr>
          <w:sz w:val="22"/>
          <w:szCs w:val="22"/>
        </w:rPr>
        <w:t>-строительство или реконструкцию объекта индивидуального жилищного строительства (ИЖС) с привлечением строительной организации;</w:t>
      </w:r>
    </w:p>
    <w:p>
      <w:pPr>
        <w:pStyle w:val="Style12"/>
        <w:spacing w:lineRule="auto" w:line="240" w:before="0" w:after="0"/>
        <w:jc w:val="both"/>
        <w:rPr>
          <w:sz w:val="22"/>
          <w:szCs w:val="22"/>
        </w:rPr>
      </w:pPr>
      <w:r>
        <w:rPr>
          <w:sz w:val="22"/>
          <w:szCs w:val="22"/>
        </w:rPr>
        <w:t>-строительство или реконструкцию объекта ИЖС без привлечения строительной организации;</w:t>
      </w:r>
    </w:p>
    <w:p>
      <w:pPr>
        <w:pStyle w:val="Style12"/>
        <w:spacing w:lineRule="auto" w:line="240" w:before="0" w:after="0"/>
        <w:jc w:val="both"/>
        <w:rPr>
          <w:sz w:val="22"/>
          <w:szCs w:val="22"/>
        </w:rPr>
      </w:pPr>
      <w:r>
        <w:rPr>
          <w:sz w:val="22"/>
          <w:szCs w:val="22"/>
        </w:rPr>
        <w:t>-компенсацию затрат за построенный или реконструированный объект индивидуального жилищного строительства;</w:t>
      </w:r>
    </w:p>
    <w:p>
      <w:pPr>
        <w:pStyle w:val="Style12"/>
        <w:spacing w:lineRule="auto" w:line="240" w:before="0" w:after="0"/>
        <w:jc w:val="both"/>
        <w:rPr>
          <w:sz w:val="22"/>
          <w:szCs w:val="22"/>
        </w:rPr>
      </w:pPr>
      <w:r>
        <w:rPr>
          <w:sz w:val="22"/>
          <w:szCs w:val="22"/>
        </w:rPr>
        <w:t>-уплату первоначального взноса при получении кредита (займа), в том числе ипотечного, на приобретение или строительство жилья;</w:t>
      </w:r>
    </w:p>
    <w:p>
      <w:pPr>
        <w:pStyle w:val="Style12"/>
        <w:spacing w:lineRule="auto" w:line="240" w:before="0" w:after="0"/>
        <w:jc w:val="both"/>
        <w:rPr>
          <w:sz w:val="22"/>
          <w:szCs w:val="22"/>
        </w:rPr>
      </w:pPr>
      <w:r>
        <w:rPr>
          <w:sz w:val="22"/>
          <w:szCs w:val="22"/>
        </w:rPr>
        <w:t>-погашение основного долга и уплату процентов по кредитам или займам на приобретение или строительство жилья, в том числе ипотечным;</w:t>
      </w:r>
    </w:p>
    <w:p>
      <w:pPr>
        <w:pStyle w:val="Style12"/>
        <w:spacing w:lineRule="auto" w:line="240" w:before="0" w:after="0"/>
        <w:jc w:val="both"/>
        <w:rPr>
          <w:sz w:val="22"/>
          <w:szCs w:val="22"/>
        </w:rPr>
      </w:pPr>
      <w:r>
        <w:rPr>
          <w:sz w:val="22"/>
          <w:szCs w:val="22"/>
        </w:rPr>
        <w:t>-уплату цены по договору участия в долевом строительстве;</w:t>
      </w:r>
    </w:p>
    <w:p>
      <w:pPr>
        <w:pStyle w:val="Style12"/>
        <w:spacing w:lineRule="auto" w:line="240" w:before="0" w:after="0"/>
        <w:jc w:val="both"/>
        <w:rPr>
          <w:sz w:val="22"/>
          <w:szCs w:val="22"/>
        </w:rPr>
      </w:pPr>
      <w:r>
        <w:rPr>
          <w:sz w:val="22"/>
          <w:szCs w:val="22"/>
        </w:rPr>
        <w:t>-платёж в счёт уплаты вступительного взноса и (или) паевого взноса, если владелец сертификата либо его супруг (супруга) является участником жилищного, жилищно-строительного, жилищного накопительного кооператива.</w:t>
      </w:r>
    </w:p>
    <w:p>
      <w:pPr>
        <w:pStyle w:val="Style12"/>
        <w:spacing w:lineRule="auto" w:line="240" w:before="0" w:after="0"/>
        <w:jc w:val="both"/>
        <w:rPr>
          <w:sz w:val="22"/>
          <w:szCs w:val="22"/>
        </w:rPr>
      </w:pPr>
      <w:r>
        <w:rPr>
          <w:sz w:val="22"/>
          <w:szCs w:val="22"/>
        </w:rPr>
        <w:t>С полным перечнем документов, которые необходимо представить в каждом конкретном случае, можно ознакомиться здесь.</w:t>
      </w:r>
    </w:p>
    <w:p>
      <w:pPr>
        <w:pStyle w:val="Style12"/>
        <w:spacing w:lineRule="auto" w:line="240" w:before="0"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[1] Федеральный закон от 29.12.2006 № 256-ФЗ «О дополнительных мерах государственной поддержки семей, имеющих детей». 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Liberation Serif" w:hAnsi="Liberation Serif" w:eastAsia="SimSun" w:cs="Mangal"/>
      <w:color w:val="auto"/>
      <w:sz w:val="24"/>
      <w:szCs w:val="24"/>
      <w:lang w:val="ru-RU" w:eastAsia="zh-CN" w:bidi="hi-IN"/>
    </w:rPr>
  </w:style>
  <w:style w:type="paragraph" w:styleId="1">
    <w:name w:val="Заголовок 1"/>
    <w:basedOn w:val="Style11"/>
    <w:next w:val="Style12"/>
    <w:pPr>
      <w:numPr>
        <w:ilvl w:val="0"/>
        <w:numId w:val="1"/>
      </w:numPr>
      <w:spacing w:before="240" w:after="120"/>
      <w:outlineLvl w:val="0"/>
      <w:outlineLvl w:val="0"/>
    </w:pPr>
    <w:rPr>
      <w:b/>
      <w:bCs/>
      <w:sz w:val="36"/>
      <w:szCs w:val="36"/>
    </w:rPr>
  </w:style>
  <w:style w:type="paragraph" w:styleId="2">
    <w:name w:val="Заголовок 2"/>
    <w:basedOn w:val="Style11"/>
    <w:next w:val="Style12"/>
    <w:pPr>
      <w:numPr>
        <w:ilvl w:val="1"/>
        <w:numId w:val="1"/>
      </w:numPr>
      <w:spacing w:before="200" w:after="120"/>
      <w:outlineLvl w:val="1"/>
      <w:outlineLvl w:val="1"/>
    </w:pPr>
    <w:rPr>
      <w:b/>
      <w:bCs/>
      <w:sz w:val="32"/>
      <w:szCs w:val="32"/>
    </w:rPr>
  </w:style>
  <w:style w:type="paragraph" w:styleId="3">
    <w:name w:val="Заголовок 3"/>
    <w:basedOn w:val="Style11"/>
    <w:next w:val="Style12"/>
    <w:pPr>
      <w:numPr>
        <w:ilvl w:val="2"/>
        <w:numId w:val="1"/>
      </w:numPr>
      <w:spacing w:before="140" w:after="120"/>
      <w:outlineLvl w:val="2"/>
      <w:outlineLvl w:val="2"/>
    </w:pPr>
    <w:rPr>
      <w:b/>
      <w:bCs/>
      <w:sz w:val="28"/>
      <w:szCs w:val="28"/>
    </w:rPr>
  </w:style>
  <w:style w:type="paragraph" w:styleId="Style11">
    <w:name w:val="Заголовок"/>
    <w:basedOn w:val="Normal"/>
    <w:next w:val="Style12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2">
    <w:name w:val="Основной текст"/>
    <w:basedOn w:val="Normal"/>
    <w:pPr>
      <w:spacing w:lineRule="auto" w:line="288" w:before="0" w:after="140"/>
    </w:pPr>
    <w:rPr/>
  </w:style>
  <w:style w:type="paragraph" w:styleId="Style13">
    <w:name w:val="Список"/>
    <w:basedOn w:val="Style12"/>
    <w:pPr/>
    <w:rPr>
      <w:rFonts w:cs="Mangal"/>
    </w:rPr>
  </w:style>
  <w:style w:type="paragraph" w:styleId="Style14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Mangal"/>
    </w:rPr>
  </w:style>
  <w:style w:type="paragraph" w:styleId="Style16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17">
    <w:name w:val="Заглавие"/>
    <w:basedOn w:val="Style11"/>
    <w:next w:val="Style12"/>
    <w:pPr>
      <w:jc w:val="center"/>
    </w:pPr>
    <w:rPr>
      <w:b/>
      <w:bCs/>
      <w:sz w:val="56"/>
      <w:szCs w:val="56"/>
    </w:rPr>
  </w:style>
  <w:style w:type="paragraph" w:styleId="Style18">
    <w:name w:val="Подзаголовок"/>
    <w:basedOn w:val="Style11"/>
    <w:next w:val="Style12"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3</TotalTime>
  <Application>LibreOffice/5.0.1.2$Windows_x86 LibreOffice_project/81898c9f5c0d43f3473ba111d7b351050be20261</Application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2020-08-13T10:03:06Z</dcterms:created>
  <dc:language>ru-RU</dc:language>
  <dcterms:modified xsi:type="dcterms:W3CDTF">2020-08-27T10:07:39Z</dcterms:modified>
  <cp:revision>1</cp:revision>
</cp:coreProperties>
</file>