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Лично посещать Пенсионный фонд или МФЦ не потребуется, если вы направляете материнский капитал на улучшение жилищных условий:</w:t>
      </w:r>
    </w:p>
    <w:p>
      <w:pPr>
        <w:pStyle w:val="Normal"/>
        <w:jc w:val="both"/>
        <w:rPr/>
      </w:pPr>
      <w:r>
        <w:rPr/>
        <w:t>- на оплату приобретаемого жилого помещения;</w:t>
      </w:r>
    </w:p>
    <w:p>
      <w:pPr>
        <w:pStyle w:val="Normal"/>
        <w:jc w:val="both"/>
        <w:rPr/>
      </w:pPr>
      <w:r>
        <w:rPr/>
        <w:t>- в счет уплаты цены договора участия в долевом строительстве;</w:t>
      </w:r>
    </w:p>
    <w:p>
      <w:pPr>
        <w:pStyle w:val="Normal"/>
        <w:jc w:val="both"/>
        <w:rPr/>
      </w:pPr>
      <w:r>
        <w:rPr/>
        <w:t>- на строительство или реконструкцию объекта индивидуального жилищного строительства без привлечения или с привлечением строительной организации;</w:t>
      </w:r>
    </w:p>
    <w:p>
      <w:pPr>
        <w:pStyle w:val="Normal"/>
        <w:jc w:val="both"/>
        <w:rPr/>
      </w:pPr>
      <w:r>
        <w:rPr/>
        <w:t>- на уплату первоначального взноса при получении кредита, в том числе ипотечного, на приобретение или строительство жилья;</w:t>
      </w:r>
    </w:p>
    <w:p>
      <w:pPr>
        <w:pStyle w:val="Normal"/>
        <w:jc w:val="both"/>
        <w:rPr/>
      </w:pPr>
      <w:r>
        <w:rPr/>
        <w:t>- на погашение основного долга и уплату процентов по кредиту, в том числе ипотечному, на приобретение или строительство жилья либо по кредиту, в том числе ипотечному, на погашение ранее предоставленного кредита на приобретение или строительство жилья.</w:t>
      </w:r>
    </w:p>
    <w:p>
      <w:pPr>
        <w:pStyle w:val="Normal"/>
        <w:jc w:val="both"/>
        <w:rPr/>
      </w:pPr>
      <w:r>
        <w:rPr/>
        <w:t xml:space="preserve">В этих случаях достаточно подать заявление через портал госуслуг </w:t>
      </w:r>
      <w:hyperlink r:id="rId2" w:tgtFrame="_blank">
        <w:r>
          <w:rPr>
            <w:rStyle w:val="Style11"/>
          </w:rPr>
          <w:t>www.gosuslugi.ru</w:t>
        </w:r>
      </w:hyperlink>
      <w:r>
        <w:rPr/>
        <w:t xml:space="preserve"> и указать в нем сведения из документов. Приходить в Пенсионный фонд или МФЦ не нужно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1071880</wp:posOffset>
            </wp:positionH>
            <wp:positionV relativeFrom="paragraph">
              <wp:posOffset>231140</wp:posOffset>
            </wp:positionV>
            <wp:extent cx="3880485" cy="316293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89909768_7232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2020-11-02T12:20:34Z</dcterms:created>
  <dc:language>ru-RU</dc:language>
  <dcterms:modified xsi:type="dcterms:W3CDTF">2020-11-02T12:29:28Z</dcterms:modified>
  <cp:revision>1</cp:revision>
</cp:coreProperties>
</file>