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E0" w:rsidRDefault="00CC77E0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CC77E0" w:rsidRDefault="00CC77E0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Токмовского сельского поселения</w:t>
      </w:r>
    </w:p>
    <w:p w:rsidR="00CC77E0" w:rsidRDefault="00CC77E0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CC77E0" w:rsidRPr="0008178B" w:rsidRDefault="00CC77E0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CC77E0" w:rsidRPr="0008178B" w:rsidRDefault="00CC77E0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C77E0" w:rsidRPr="0008178B" w:rsidRDefault="00CC77E0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CC77E0" w:rsidRDefault="00CC77E0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7E0" w:rsidRPr="00C50E17" w:rsidRDefault="00CC77E0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7E0" w:rsidRDefault="00CC77E0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22 января </w:t>
      </w:r>
      <w:r w:rsidRPr="00C50E1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C50E17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№1</w:t>
      </w:r>
    </w:p>
    <w:p w:rsidR="00CC77E0" w:rsidRPr="000D0017" w:rsidRDefault="00CC77E0" w:rsidP="00B85C11"/>
    <w:p w:rsidR="00CC77E0" w:rsidRPr="00B85C11" w:rsidRDefault="00CC77E0" w:rsidP="00B8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CC77E0" w:rsidRDefault="00CC77E0" w:rsidP="00B8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hAnsi="Times New Roman"/>
          <w:b/>
          <w:sz w:val="28"/>
          <w:szCs w:val="28"/>
          <w:lang w:eastAsia="ru-RU"/>
        </w:rPr>
        <w:t>о порядке самообложения граждан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CC77E0" w:rsidRPr="00D85437" w:rsidRDefault="00CC77E0" w:rsidP="00D85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Токмовского сельского поселения</w:t>
      </w:r>
    </w:p>
    <w:p w:rsidR="00CC77E0" w:rsidRPr="00B85C11" w:rsidRDefault="00CC77E0" w:rsidP="00B85C11">
      <w:pPr>
        <w:rPr>
          <w:lang w:eastAsia="ru-RU"/>
        </w:rPr>
      </w:pPr>
    </w:p>
    <w:p w:rsidR="00CC77E0" w:rsidRPr="00B85C11" w:rsidRDefault="00CC77E0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>
        <w:rPr>
          <w:rFonts w:ascii="Times New Roman" w:hAnsi="Times New Roman"/>
          <w:sz w:val="28"/>
          <w:szCs w:val="28"/>
        </w:rPr>
        <w:t xml:space="preserve"> Токмовского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Ковылкинского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 xml:space="preserve">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 в Республике Мордовия»,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Токмовского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Токмовского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CC77E0" w:rsidRPr="00B85C11" w:rsidRDefault="00CC77E0" w:rsidP="00B04A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 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Токмовского</w:t>
      </w:r>
      <w:r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:rsidR="00CC77E0" w:rsidRDefault="00CC77E0" w:rsidP="00B0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Токмовского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CC77E0" w:rsidRDefault="00CC77E0" w:rsidP="00B85C11">
      <w:pPr>
        <w:jc w:val="both"/>
        <w:rPr>
          <w:rFonts w:ascii="Times New Roman" w:hAnsi="Times New Roman"/>
          <w:sz w:val="28"/>
          <w:szCs w:val="28"/>
        </w:rPr>
      </w:pPr>
    </w:p>
    <w:p w:rsidR="00CC77E0" w:rsidRDefault="00CC77E0" w:rsidP="00B85C11">
      <w:pPr>
        <w:jc w:val="both"/>
        <w:rPr>
          <w:rFonts w:ascii="Times New Roman" w:hAnsi="Times New Roman"/>
          <w:sz w:val="28"/>
          <w:szCs w:val="28"/>
        </w:rPr>
      </w:pPr>
    </w:p>
    <w:p w:rsidR="00CC77E0" w:rsidRPr="003B3CAB" w:rsidRDefault="00CC77E0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Токмовского</w:t>
      </w:r>
    </w:p>
    <w:p w:rsidR="00CC77E0" w:rsidRPr="003B3CAB" w:rsidRDefault="00CC77E0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C77E0" w:rsidRDefault="00CC77E0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Г.Н.Румянцев</w:t>
      </w:r>
    </w:p>
    <w:p w:rsidR="00CC77E0" w:rsidRDefault="00CC77E0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77E0" w:rsidRDefault="00CC77E0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77E0" w:rsidRDefault="00CC77E0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77E0" w:rsidRDefault="00CC77E0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77E0" w:rsidRPr="00B85C11" w:rsidRDefault="00CC77E0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395" w:type="dxa"/>
        <w:tblInd w:w="5211" w:type="dxa"/>
        <w:tblLook w:val="00A0"/>
      </w:tblPr>
      <w:tblGrid>
        <w:gridCol w:w="4395"/>
      </w:tblGrid>
      <w:tr w:rsidR="00CC77E0" w:rsidRPr="00D7175F" w:rsidTr="00FB58F4">
        <w:tc>
          <w:tcPr>
            <w:tcW w:w="4395" w:type="dxa"/>
          </w:tcPr>
          <w:p w:rsidR="00CC77E0" w:rsidRDefault="00CC7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77E0" w:rsidRDefault="00CC7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77E0" w:rsidRDefault="00CC7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77E0" w:rsidRDefault="00CC7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77E0" w:rsidRDefault="00CC7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77E0" w:rsidRDefault="00CC7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C77E0" w:rsidRPr="00D7175F" w:rsidRDefault="00CC7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C77E0" w:rsidRPr="00D7175F" w:rsidRDefault="00CC7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CC77E0" w:rsidRDefault="00CC7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Токмовского сельского поселения</w:t>
            </w:r>
          </w:p>
          <w:p w:rsidR="00CC77E0" w:rsidRPr="00D7175F" w:rsidRDefault="00CC7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  <w:p w:rsidR="00CC77E0" w:rsidRPr="00D7175F" w:rsidRDefault="00CC7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22.01.2021</w:t>
            </w:r>
            <w:r w:rsidRPr="00D7175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77E0" w:rsidRPr="00D7175F" w:rsidRDefault="00CC77E0" w:rsidP="00543CF7">
      <w:pPr>
        <w:spacing w:after="236" w:line="274" w:lineRule="exact"/>
        <w:ind w:right="20"/>
        <w:rPr>
          <w:rFonts w:ascii="Times New Roman" w:hAnsi="Times New Roman"/>
          <w:sz w:val="24"/>
          <w:szCs w:val="24"/>
          <w:lang w:eastAsia="ru-RU"/>
        </w:rPr>
      </w:pPr>
    </w:p>
    <w:p w:rsidR="00CC77E0" w:rsidRPr="00D7175F" w:rsidRDefault="00CC77E0" w:rsidP="00FB58F4">
      <w:pPr>
        <w:spacing w:after="0" w:line="274" w:lineRule="exact"/>
        <w:ind w:left="6000" w:right="20"/>
        <w:rPr>
          <w:rFonts w:ascii="Times New Roman" w:hAnsi="Times New Roman"/>
          <w:sz w:val="24"/>
          <w:szCs w:val="24"/>
          <w:lang w:eastAsia="ru-RU"/>
        </w:rPr>
      </w:pPr>
    </w:p>
    <w:p w:rsidR="00CC77E0" w:rsidRPr="00D7175F" w:rsidRDefault="00CC77E0" w:rsidP="00FB58F4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bookmark2"/>
      <w:r w:rsidRPr="00D7175F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CC77E0" w:rsidRDefault="00CC77E0" w:rsidP="00471D85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D85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</w:p>
    <w:p w:rsidR="00CC77E0" w:rsidRPr="00D7175F" w:rsidRDefault="00CC77E0" w:rsidP="00471D85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Токмовского</w:t>
      </w:r>
      <w:r w:rsidRPr="00471D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C77E0" w:rsidRPr="00D7175F" w:rsidRDefault="00CC77E0" w:rsidP="00FB58F4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77E0" w:rsidRPr="00B04ACE" w:rsidRDefault="00CC77E0" w:rsidP="00B0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>
        <w:rPr>
          <w:rFonts w:ascii="Times New Roman" w:hAnsi="Times New Roman"/>
          <w:sz w:val="28"/>
          <w:szCs w:val="28"/>
        </w:rPr>
        <w:t>Токмовского</w:t>
      </w:r>
      <w:r w:rsidRPr="00B04ACE">
        <w:rPr>
          <w:rFonts w:ascii="Times New Roman" w:hAnsi="Times New Roman"/>
          <w:sz w:val="28"/>
          <w:szCs w:val="28"/>
        </w:rPr>
        <w:t xml:space="preserve"> сельского </w:t>
      </w:r>
      <w:r w:rsidRPr="00B04ACE">
        <w:rPr>
          <w:rFonts w:ascii="Times New Roman" w:hAnsi="Times New Roman"/>
          <w:sz w:val="28"/>
          <w:szCs w:val="28"/>
          <w:lang w:eastAsia="ru-RU"/>
        </w:rPr>
        <w:t>поселения Ковылкинского муниципального района Республики Мордовия, сбора и использования средств самообложения граждан.</w:t>
      </w:r>
    </w:p>
    <w:p w:rsidR="00CC77E0" w:rsidRPr="00B04ACE" w:rsidRDefault="00CC77E0" w:rsidP="00B04AC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bookmark3"/>
    </w:p>
    <w:p w:rsidR="00CC77E0" w:rsidRPr="00B04ACE" w:rsidRDefault="00CC77E0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  <w:bookmarkEnd w:id="1"/>
    </w:p>
    <w:p w:rsidR="00CC77E0" w:rsidRPr="00B04ACE" w:rsidRDefault="00CC77E0" w:rsidP="00B04ACE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CC77E0" w:rsidRPr="00B04ACE" w:rsidRDefault="00CC77E0" w:rsidP="00B04ACE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:rsidR="00CC77E0" w:rsidRPr="00B04ACE" w:rsidRDefault="00CC77E0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величине, равной для всех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:rsidR="00CC77E0" w:rsidRPr="00B04ACE" w:rsidRDefault="00CC77E0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Конституцией Республики Мордовия, Законом Республики Мордовия от 15 февраля 2007 г. № 15-З «О местном референдуме в Республике Мордовия», другими федеральными законами и иными нормативными правовыми актами Российской Федерации, законами Республики Мордовия и иными нормативными правовыми актами Республики Мордовия, Уставом </w:t>
      </w:r>
      <w:r>
        <w:rPr>
          <w:rFonts w:ascii="Times New Roman" w:hAnsi="Times New Roman"/>
          <w:sz w:val="28"/>
          <w:szCs w:val="28"/>
          <w:lang w:eastAsia="ru-RU"/>
        </w:rPr>
        <w:t>Токмовского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настоящим Положением.</w:t>
      </w:r>
    </w:p>
    <w:p w:rsidR="00CC77E0" w:rsidRPr="00B04ACE" w:rsidRDefault="00CC77E0" w:rsidP="00B04ACE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CC77E0" w:rsidRPr="00B04ACE" w:rsidRDefault="00CC77E0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:rsidR="00CC77E0" w:rsidRPr="00B04ACE" w:rsidRDefault="00CC77E0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CC77E0" w:rsidRPr="00B04ACE" w:rsidRDefault="00CC77E0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CC77E0" w:rsidRPr="00B04ACE" w:rsidRDefault="00CC77E0" w:rsidP="00B04ACE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решения.</w:t>
      </w:r>
    </w:p>
    <w:p w:rsidR="00CC77E0" w:rsidRPr="00B04ACE" w:rsidRDefault="00CC77E0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Местный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референдуме» и Уставом </w:t>
      </w:r>
      <w:r>
        <w:rPr>
          <w:rFonts w:ascii="Times New Roman" w:hAnsi="Times New Roman"/>
          <w:sz w:val="28"/>
          <w:szCs w:val="28"/>
          <w:lang w:eastAsia="ru-RU"/>
        </w:rPr>
        <w:t>Токмовского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CC77E0" w:rsidRPr="00B04ACE" w:rsidRDefault="00CC77E0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 решении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Токмовского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– Совет депутатов) о назначении местного референдума, принимаемом в соответствии с Уставом </w:t>
      </w:r>
      <w:r>
        <w:rPr>
          <w:rFonts w:ascii="Times New Roman" w:hAnsi="Times New Roman"/>
          <w:sz w:val="28"/>
          <w:szCs w:val="28"/>
          <w:lang w:eastAsia="ru-RU"/>
        </w:rPr>
        <w:t>Токмовского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указываются: </w:t>
      </w:r>
    </w:p>
    <w:p w:rsidR="00CC77E0" w:rsidRPr="00B04ACE" w:rsidRDefault="00CC77E0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:rsidR="00CC77E0" w:rsidRPr="00B04ACE" w:rsidRDefault="00CC77E0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:rsidR="00CC77E0" w:rsidRPr="00B04ACE" w:rsidRDefault="00CC77E0" w:rsidP="00B04ACE">
      <w:pPr>
        <w:pStyle w:val="ListParagraph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CC77E0" w:rsidRPr="00B04ACE" w:rsidRDefault="00CC77E0" w:rsidP="00B04ACE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:rsidR="00CC77E0" w:rsidRPr="00B04ACE" w:rsidRDefault="00CC77E0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Положения;</w:t>
      </w:r>
    </w:p>
    <w:p w:rsidR="00CC77E0" w:rsidRPr="00B04ACE" w:rsidRDefault="00CC77E0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:rsidR="00CC77E0" w:rsidRPr="00B04ACE" w:rsidRDefault="00CC77E0" w:rsidP="00B04ACE">
      <w:pPr>
        <w:pStyle w:val="ListParagraph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 решении Совета депутатов о перенесении дня голосования на местном референдуме, принимаемом в порядке, предусмотренном пунктом 5 статьи 9 Закона Республики Мордовия от 15 февраля 2007 г. № 15-З «О местном референдуме», указываются: </w:t>
      </w:r>
    </w:p>
    <w:p w:rsidR="00CC77E0" w:rsidRPr="00B04ACE" w:rsidRDefault="00CC77E0" w:rsidP="00B04ACE">
      <w:pPr>
        <w:pStyle w:val="ListParagraph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:rsidR="00CC77E0" w:rsidRPr="00B04ACE" w:rsidRDefault="00CC77E0" w:rsidP="00B04ACE">
      <w:pPr>
        <w:pStyle w:val="ListParagraph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день, на который переносится голосование на местном референдуме.</w:t>
      </w:r>
    </w:p>
    <w:p w:rsidR="00CC77E0" w:rsidRPr="00B04ACE" w:rsidRDefault="00CC77E0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bookmark5"/>
    </w:p>
    <w:p w:rsidR="00CC77E0" w:rsidRPr="00B04ACE" w:rsidRDefault="00CC77E0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hAnsi="Times New Roman"/>
          <w:b/>
          <w:sz w:val="28"/>
          <w:szCs w:val="28"/>
          <w:lang w:eastAsia="ru-RU"/>
        </w:rPr>
        <w:t>2. Назначение, подготовка и проведение схода граждан</w:t>
      </w:r>
      <w:bookmarkEnd w:id="2"/>
    </w:p>
    <w:p w:rsidR="00CC77E0" w:rsidRPr="00B04ACE" w:rsidRDefault="00CC77E0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признанным судом недееспособными или не содержащимся в местах лишения свободы по приговору суда. 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участвуют в сходе непосредственно  путем открытого или тайного голосования. Каждый гражданин при  голосовании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CC77E0" w:rsidRPr="00B04ACE" w:rsidRDefault="00CC77E0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CC77E0" w:rsidRPr="00DD1B3C" w:rsidRDefault="00CC77E0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:rsidR="00CC77E0" w:rsidRPr="00B04ACE" w:rsidRDefault="00CC77E0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этом, каждый вопрос, выносимый на сход граждан, должен содержать информацию, указанную в пункте 1.12 настоящего Положения, а 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случае, если в качестве субъекта инициативы выступает инициативная группа, к ходатайству прикладывается список инициативной группы по форме, установленной в приложении 1 к настоящему Положению.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B04ACE">
        <w:rPr>
          <w:rFonts w:ascii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Совет  депутатов принимает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275CB1">
        <w:rPr>
          <w:rFonts w:ascii="Times New Roman" w:hAnsi="Times New Roman"/>
          <w:sz w:val="28"/>
          <w:szCs w:val="28"/>
          <w:lang w:eastAsia="ru-RU"/>
        </w:rPr>
        <w:t>о проведении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схода граждан и создании комиссии по организации и проведению схода граждан (далее – комиссия) в составе 3 – 5 человек.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2.10 настоящего Положения, принимается Советом депутатов в сроки:</w:t>
      </w:r>
    </w:p>
    <w:p w:rsidR="00CC77E0" w:rsidRPr="00B04ACE" w:rsidRDefault="00CC77E0" w:rsidP="00B04ACE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2.6 настоящего Положения;</w:t>
      </w:r>
    </w:p>
    <w:p w:rsidR="00CC77E0" w:rsidRPr="00B04ACE" w:rsidRDefault="00CC77E0" w:rsidP="00B04ACE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2.6 настоящего Положения. </w:t>
      </w:r>
    </w:p>
    <w:p w:rsidR="00CC77E0" w:rsidRPr="00DD1B3C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 xml:space="preserve">В решении, указанном в пункте 2.10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 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В состав </w:t>
      </w:r>
      <w:r w:rsidRPr="00DD1B3C">
        <w:rPr>
          <w:rFonts w:ascii="Times New Roman" w:hAnsi="Times New Roman"/>
          <w:sz w:val="28"/>
          <w:szCs w:val="28"/>
        </w:rPr>
        <w:t>комиссии в</w:t>
      </w:r>
      <w:r w:rsidRPr="00B04ACE">
        <w:rPr>
          <w:rFonts w:ascii="Times New Roman" w:hAnsi="Times New Roman"/>
          <w:sz w:val="28"/>
          <w:szCs w:val="28"/>
        </w:rPr>
        <w:t>ходят председатель, секретарь и члены комиссии.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B04ACE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CC77E0" w:rsidRPr="00B04ACE" w:rsidRDefault="00CC77E0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непредставления подписного листа, указанного в пункте 2.9 настоящего Положения;</w:t>
      </w:r>
    </w:p>
    <w:p w:rsidR="00CC77E0" w:rsidRPr="00B04ACE" w:rsidRDefault="00CC77E0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подписного листа установленной настоящим Положением форме;</w:t>
      </w:r>
    </w:p>
    <w:p w:rsidR="00CC77E0" w:rsidRPr="00B04ACE" w:rsidRDefault="00CC77E0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CC77E0" w:rsidRPr="00B04ACE" w:rsidRDefault="00CC77E0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:rsidR="00CC77E0" w:rsidRPr="00B04ACE" w:rsidRDefault="00CC77E0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:rsidR="00CC77E0" w:rsidRPr="00B04ACE" w:rsidRDefault="00CC77E0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>
        <w:rPr>
          <w:rFonts w:ascii="Times New Roman" w:hAnsi="Times New Roman"/>
          <w:sz w:val="28"/>
          <w:szCs w:val="28"/>
          <w:lang w:eastAsia="ru-RU"/>
        </w:rPr>
        <w:t>Токмовского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иным муниципальным правовым актам органов </w:t>
      </w:r>
      <w:r>
        <w:rPr>
          <w:rFonts w:ascii="Times New Roman" w:hAnsi="Times New Roman"/>
          <w:sz w:val="28"/>
          <w:szCs w:val="28"/>
          <w:lang w:eastAsia="ru-RU"/>
        </w:rPr>
        <w:t>Токмовского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2.15 настоящего Положения,  принимается Советом депутатов в сроки, установленные пунктом 2.11 настоящего Положения.</w:t>
      </w:r>
    </w:p>
    <w:p w:rsidR="00CC77E0" w:rsidRPr="00DD1B3C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граждан, подлежащих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:rsidR="00CC77E0" w:rsidRPr="00DD1B3C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>Присутствовать на сходе граждан, принимать участие в обсуждении выносимых на  данном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Перед открытием схода граждан его участники регистрируются членами комиссии при предъявлении гражданином паспорта или документа его заменяющего: </w:t>
      </w:r>
    </w:p>
    <w:p w:rsidR="00CC77E0" w:rsidRPr="00B04ACE" w:rsidRDefault="00CC77E0" w:rsidP="00B04A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Положению;</w:t>
      </w:r>
    </w:p>
    <w:p w:rsidR="00CC77E0" w:rsidRPr="00B04ACE" w:rsidRDefault="00CC77E0" w:rsidP="00B04A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 на сходе граждан, вносятся в форму, установленную в приложении 4 к настоящему Положению.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Председательствует на сходе граждан председатель комиссии или </w:t>
      </w:r>
      <w:r w:rsidRPr="00B04ACE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Протокол схода ведет секретарь комиссии и обеспечивает  достоверность отраженных в нем сведений.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CC77E0" w:rsidRPr="00B04ACE" w:rsidRDefault="00CC77E0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CC77E0" w:rsidRPr="00B04ACE" w:rsidRDefault="00CC77E0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фамилии, имена, отчества председательствующего  на данном сходе, секретаря и членов комиссии, а также информация об их присутствии на данном сходе;  </w:t>
      </w:r>
    </w:p>
    <w:p w:rsidR="00CC77E0" w:rsidRPr="00B04ACE" w:rsidRDefault="00CC77E0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:rsidR="00CC77E0" w:rsidRPr="00B04ACE" w:rsidRDefault="00CC77E0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CC77E0" w:rsidRPr="00B04ACE" w:rsidRDefault="00CC77E0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:rsidR="00CC77E0" w:rsidRPr="00B04ACE" w:rsidRDefault="00CC77E0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информация о правомочности (неправомочности) схода  граждан;</w:t>
      </w:r>
    </w:p>
    <w:p w:rsidR="00CC77E0" w:rsidRPr="00B04ACE" w:rsidRDefault="00CC77E0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сход граждан, содержащий информацию, указанную в пункте 1.12 настоящего Положения;</w:t>
      </w:r>
    </w:p>
    <w:p w:rsidR="00CC77E0" w:rsidRPr="00B04ACE" w:rsidRDefault="00CC77E0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вид голосования, применяемый на данном сходе, определенный решением Совета депутатов в порядке, предусмотренном пунктами 2.10 и 2.11 настоящего Положения;</w:t>
      </w:r>
    </w:p>
    <w:p w:rsidR="00CC77E0" w:rsidRPr="00B04ACE" w:rsidRDefault="00CC77E0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CC77E0" w:rsidRPr="00B04ACE" w:rsidRDefault="00CC77E0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граждан, имеющих право голосовать, и вступает в силу в порядке, установленном Уставом </w:t>
      </w:r>
      <w:r>
        <w:rPr>
          <w:rFonts w:ascii="Times New Roman" w:hAnsi="Times New Roman"/>
          <w:sz w:val="28"/>
          <w:szCs w:val="28"/>
          <w:lang w:eastAsia="ru-RU"/>
        </w:rPr>
        <w:t>Токмовского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2.24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2.24 настоящего Положения, оформляется в виде отдельного решения в срок не позднее 30 дней со дня  принятия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Официальное опубликование решения, указанного в пункте 2.24 настоящего Положения, и протокола схода граждан осуществляется в течение двух месяцев со дня голосования.  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Вид голосования определяется в соответствии с пунктом 2.12 настоящего Положения.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Открытое голосование проводится путем поднятия гражданином руки на время, необходимое для подсчета голосов.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Подсчет голосов осуществляет комиссия. Результаты открытого голосования заносятся в протокол, указанный в пункте 2.22 настоящего Положения.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Тайное голосование проводится  в помещении для голосования,  где должен быть зал, в котором размещаются кабины  или иные специально оборудованные места для тайного голосования, оснащенные  системой освещения и снабженные письменными принадлежностями. Помещение должно быть доступно  для граждан с ограниченными возможностями. Применение карандашей при заполнении бюллетеней для голосования на сходе  граждан не допускается. 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позднее чем за 20 дней до дня голосования. Текст бюллетеня должен быть размещен только на одной его стороне. 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B04ACE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B04ACE">
        <w:rPr>
          <w:rFonts w:ascii="Times New Roman" w:hAnsi="Times New Roman"/>
          <w:sz w:val="28"/>
          <w:szCs w:val="28"/>
          <w:lang w:eastAsia="ru-RU"/>
        </w:rPr>
        <w:t>при предъявлении паспорта, иного документа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для тайного голосования.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CC77E0" w:rsidRPr="00B04ACE" w:rsidRDefault="00CC77E0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Результаты голосования заносятся в протокол.  </w:t>
      </w:r>
    </w:p>
    <w:p w:rsidR="00CC77E0" w:rsidRPr="00B04ACE" w:rsidRDefault="00CC77E0" w:rsidP="00B04ACE">
      <w:pPr>
        <w:pStyle w:val="ListParagraph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7E0" w:rsidRPr="00B04ACE" w:rsidRDefault="00CC77E0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bookmark8"/>
      <w:r w:rsidRPr="00B04ACE">
        <w:rPr>
          <w:rFonts w:ascii="Times New Roman" w:hAnsi="Times New Roman"/>
          <w:b/>
          <w:sz w:val="28"/>
          <w:szCs w:val="28"/>
          <w:lang w:eastAsia="ru-RU"/>
        </w:rPr>
        <w:t>3. Учет и сбор средств самообложения граждан</w:t>
      </w:r>
      <w:bookmarkEnd w:id="3"/>
    </w:p>
    <w:p w:rsidR="00CC77E0" w:rsidRPr="00B04ACE" w:rsidRDefault="00CC77E0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Токмовского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:rsidR="00CC77E0" w:rsidRPr="00B04ACE" w:rsidRDefault="00CC77E0" w:rsidP="00B04ACE">
      <w:pPr>
        <w:pStyle w:val="a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ACE">
        <w:rPr>
          <w:rFonts w:ascii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CC77E0" w:rsidRPr="00B04ACE" w:rsidRDefault="00CC77E0" w:rsidP="00B04ACE">
      <w:pPr>
        <w:pStyle w:val="ListParagraph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 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:rsidR="00CC77E0" w:rsidRPr="00B04ACE" w:rsidRDefault="00CC77E0" w:rsidP="00B04ACE">
      <w:pPr>
        <w:pStyle w:val="ListParagraph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Главным администратором доходов от разовых платежей граждан, введенных по решению о введении самообложения граждан, является администрация.</w:t>
      </w:r>
    </w:p>
    <w:p w:rsidR="00CC77E0" w:rsidRPr="00B04ACE" w:rsidRDefault="00CC77E0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Порядок уплаты разовых платежей по самообложению граждан утверждается постановлением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Токмовского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района.</w:t>
      </w:r>
    </w:p>
    <w:p w:rsidR="00CC77E0" w:rsidRPr="00B04ACE" w:rsidRDefault="00CC77E0" w:rsidP="00B04ACE">
      <w:pPr>
        <w:pStyle w:val="ListParagraph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CC77E0" w:rsidRPr="00B04ACE" w:rsidRDefault="00CC77E0" w:rsidP="00B04ACE">
      <w:pPr>
        <w:pStyle w:val="ListParagraph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Граждане, указанные в 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:rsidR="00CC77E0" w:rsidRPr="00B04ACE" w:rsidRDefault="00CC77E0" w:rsidP="00B04ACE">
      <w:pPr>
        <w:pStyle w:val="ListParagraph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:rsidR="00CC77E0" w:rsidRPr="00B04ACE" w:rsidRDefault="00CC77E0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CC77E0" w:rsidRPr="00B04ACE" w:rsidRDefault="00CC77E0" w:rsidP="00B04ACE">
      <w:pPr>
        <w:pStyle w:val="ListParagraph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:rsidR="00CC77E0" w:rsidRPr="00B04ACE" w:rsidRDefault="00CC77E0" w:rsidP="00B04ACE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77E0" w:rsidRPr="00B04ACE" w:rsidRDefault="00CC77E0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bookmark9"/>
      <w:r w:rsidRPr="00B04ACE">
        <w:rPr>
          <w:rFonts w:ascii="Times New Roman" w:hAnsi="Times New Roman"/>
          <w:b/>
          <w:sz w:val="28"/>
          <w:szCs w:val="28"/>
          <w:lang w:eastAsia="ru-RU"/>
        </w:rPr>
        <w:t>4. Использование средств самообложения граждан</w:t>
      </w:r>
      <w:bookmarkEnd w:id="4"/>
    </w:p>
    <w:p w:rsidR="00CC77E0" w:rsidRPr="00B04ACE" w:rsidRDefault="00CC77E0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:rsidR="00CC77E0" w:rsidRPr="00B04ACE" w:rsidRDefault="00CC77E0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CC77E0" w:rsidRPr="00B04ACE" w:rsidRDefault="00CC77E0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CC77E0" w:rsidRPr="00B04ACE" w:rsidRDefault="00CC77E0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B04ACE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B04ACE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B04ACE">
        <w:rPr>
          <w:rFonts w:ascii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:rsidR="00CC77E0" w:rsidRPr="00B04ACE" w:rsidRDefault="00CC77E0" w:rsidP="00B04ACE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7E0" w:rsidRPr="00B04ACE" w:rsidRDefault="00CC77E0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bookmark10"/>
      <w:r w:rsidRPr="00B04ACE">
        <w:rPr>
          <w:rFonts w:ascii="Times New Roman" w:hAnsi="Times New Roman"/>
          <w:b/>
          <w:sz w:val="28"/>
          <w:szCs w:val="28"/>
          <w:lang w:eastAsia="ru-RU"/>
        </w:rPr>
        <w:t>5. Контроль за использованием средств самообложения граждан</w:t>
      </w:r>
      <w:bookmarkEnd w:id="5"/>
    </w:p>
    <w:p w:rsidR="00CC77E0" w:rsidRPr="00B04ACE" w:rsidRDefault="00CC77E0" w:rsidP="00B04ACE">
      <w:pPr>
        <w:pStyle w:val="ListParagraph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Контроль за использованием средств самообложения граждан осуществляется органами муниципального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CC77E0" w:rsidRPr="00B04ACE" w:rsidRDefault="00CC77E0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C77E0" w:rsidRPr="00B04ACE" w:rsidSect="00707D1B">
      <w:headerReference w:type="first" r:id="rId7"/>
      <w:endnotePr>
        <w:numFmt w:val="chicago"/>
      </w:end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E0" w:rsidRDefault="00CC77E0" w:rsidP="00DF4966">
      <w:pPr>
        <w:spacing w:after="0" w:line="240" w:lineRule="auto"/>
      </w:pPr>
      <w:r>
        <w:separator/>
      </w:r>
    </w:p>
  </w:endnote>
  <w:endnote w:type="continuationSeparator" w:id="0">
    <w:p w:rsidR="00CC77E0" w:rsidRDefault="00CC77E0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E0" w:rsidRDefault="00CC77E0" w:rsidP="00DF4966">
      <w:pPr>
        <w:spacing w:after="0" w:line="240" w:lineRule="auto"/>
      </w:pPr>
      <w:r>
        <w:separator/>
      </w:r>
    </w:p>
  </w:footnote>
  <w:footnote w:type="continuationSeparator" w:id="0">
    <w:p w:rsidR="00CC77E0" w:rsidRDefault="00CC77E0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E0" w:rsidRDefault="00CC77E0">
    <w:pPr>
      <w:pStyle w:val="Header"/>
      <w:jc w:val="center"/>
    </w:pPr>
  </w:p>
  <w:p w:rsidR="00CC77E0" w:rsidRDefault="00CC77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EA147A"/>
    <w:multiLevelType w:val="multilevel"/>
    <w:tmpl w:val="9D646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1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22">
    <w:nsid w:val="6EF331B1"/>
    <w:multiLevelType w:val="multilevel"/>
    <w:tmpl w:val="A62210A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23"/>
  </w:num>
  <w:num w:numId="14">
    <w:abstractNumId w:val="24"/>
  </w:num>
  <w:num w:numId="15">
    <w:abstractNumId w:val="1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498"/>
    <w:rsid w:val="000051DA"/>
    <w:rsid w:val="000122D2"/>
    <w:rsid w:val="00017691"/>
    <w:rsid w:val="000436FE"/>
    <w:rsid w:val="00055F09"/>
    <w:rsid w:val="0008178B"/>
    <w:rsid w:val="000A1476"/>
    <w:rsid w:val="000C0F31"/>
    <w:rsid w:val="000D0017"/>
    <w:rsid w:val="00110622"/>
    <w:rsid w:val="00125E4D"/>
    <w:rsid w:val="001519CC"/>
    <w:rsid w:val="0015344C"/>
    <w:rsid w:val="001A2510"/>
    <w:rsid w:val="002059F9"/>
    <w:rsid w:val="002321DC"/>
    <w:rsid w:val="00246F48"/>
    <w:rsid w:val="00256569"/>
    <w:rsid w:val="00275CB1"/>
    <w:rsid w:val="002C0DA3"/>
    <w:rsid w:val="002C46DF"/>
    <w:rsid w:val="003009BF"/>
    <w:rsid w:val="003016C1"/>
    <w:rsid w:val="00307987"/>
    <w:rsid w:val="00313F7C"/>
    <w:rsid w:val="003256A1"/>
    <w:rsid w:val="003500C9"/>
    <w:rsid w:val="00367520"/>
    <w:rsid w:val="00367BC0"/>
    <w:rsid w:val="00372F46"/>
    <w:rsid w:val="003B3CAB"/>
    <w:rsid w:val="003B4024"/>
    <w:rsid w:val="003F3203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A1258"/>
    <w:rsid w:val="004B405A"/>
    <w:rsid w:val="004C0714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94868"/>
    <w:rsid w:val="00594AE7"/>
    <w:rsid w:val="005D58C1"/>
    <w:rsid w:val="005F6FC6"/>
    <w:rsid w:val="006516CE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07D1B"/>
    <w:rsid w:val="00713063"/>
    <w:rsid w:val="007313E6"/>
    <w:rsid w:val="00763B28"/>
    <w:rsid w:val="00771309"/>
    <w:rsid w:val="007A5987"/>
    <w:rsid w:val="007A7B49"/>
    <w:rsid w:val="007D6786"/>
    <w:rsid w:val="007D78B8"/>
    <w:rsid w:val="007E7290"/>
    <w:rsid w:val="0081391D"/>
    <w:rsid w:val="00815C9B"/>
    <w:rsid w:val="0084232C"/>
    <w:rsid w:val="0085596F"/>
    <w:rsid w:val="00871A25"/>
    <w:rsid w:val="00874E80"/>
    <w:rsid w:val="00893465"/>
    <w:rsid w:val="008D68C2"/>
    <w:rsid w:val="008F166E"/>
    <w:rsid w:val="009014B7"/>
    <w:rsid w:val="009645E1"/>
    <w:rsid w:val="00971931"/>
    <w:rsid w:val="009C084A"/>
    <w:rsid w:val="009D00DA"/>
    <w:rsid w:val="009D367B"/>
    <w:rsid w:val="009D78FD"/>
    <w:rsid w:val="009E53E4"/>
    <w:rsid w:val="00A02EA3"/>
    <w:rsid w:val="00A10DA0"/>
    <w:rsid w:val="00A36AF7"/>
    <w:rsid w:val="00A51F20"/>
    <w:rsid w:val="00A614DE"/>
    <w:rsid w:val="00A7508E"/>
    <w:rsid w:val="00A84CC6"/>
    <w:rsid w:val="00A93291"/>
    <w:rsid w:val="00A95AF1"/>
    <w:rsid w:val="00AA3A21"/>
    <w:rsid w:val="00AA3A4F"/>
    <w:rsid w:val="00AB4956"/>
    <w:rsid w:val="00AB6DC7"/>
    <w:rsid w:val="00AC5269"/>
    <w:rsid w:val="00AF2AE2"/>
    <w:rsid w:val="00B04ACE"/>
    <w:rsid w:val="00B0635F"/>
    <w:rsid w:val="00B25C53"/>
    <w:rsid w:val="00B37194"/>
    <w:rsid w:val="00B448C5"/>
    <w:rsid w:val="00B65D1D"/>
    <w:rsid w:val="00B85C11"/>
    <w:rsid w:val="00C31727"/>
    <w:rsid w:val="00C413D2"/>
    <w:rsid w:val="00C50E17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C77E0"/>
    <w:rsid w:val="00CD4C46"/>
    <w:rsid w:val="00CD610C"/>
    <w:rsid w:val="00CE7C52"/>
    <w:rsid w:val="00D50835"/>
    <w:rsid w:val="00D56E31"/>
    <w:rsid w:val="00D7175F"/>
    <w:rsid w:val="00D74130"/>
    <w:rsid w:val="00D84E84"/>
    <w:rsid w:val="00D85437"/>
    <w:rsid w:val="00D86477"/>
    <w:rsid w:val="00D96926"/>
    <w:rsid w:val="00DA0B6F"/>
    <w:rsid w:val="00DA7E41"/>
    <w:rsid w:val="00DC18AB"/>
    <w:rsid w:val="00DD1B3C"/>
    <w:rsid w:val="00DD26D3"/>
    <w:rsid w:val="00DD307F"/>
    <w:rsid w:val="00DD7D22"/>
    <w:rsid w:val="00DF16C8"/>
    <w:rsid w:val="00DF4966"/>
    <w:rsid w:val="00E101DB"/>
    <w:rsid w:val="00E12F5F"/>
    <w:rsid w:val="00E16CD3"/>
    <w:rsid w:val="00E20393"/>
    <w:rsid w:val="00E21308"/>
    <w:rsid w:val="00E24EEE"/>
    <w:rsid w:val="00E44E8B"/>
    <w:rsid w:val="00E56286"/>
    <w:rsid w:val="00E931E5"/>
    <w:rsid w:val="00EB0482"/>
    <w:rsid w:val="00EC7455"/>
    <w:rsid w:val="00ED480B"/>
    <w:rsid w:val="00EE4D77"/>
    <w:rsid w:val="00EF5B17"/>
    <w:rsid w:val="00F026F8"/>
    <w:rsid w:val="00F02F1D"/>
    <w:rsid w:val="00F37E52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5116F1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5116F1"/>
    <w:rPr>
      <w:i/>
      <w:iCs/>
    </w:rPr>
  </w:style>
  <w:style w:type="paragraph" w:styleId="ListParagraph">
    <w:name w:val="List Paragraph"/>
    <w:basedOn w:val="Normal"/>
    <w:uiPriority w:val="99"/>
    <w:qFormat/>
    <w:rsid w:val="005116F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DF49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496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F496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7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768"/>
    <w:rPr>
      <w:rFonts w:cs="Times New Roman"/>
    </w:rPr>
  </w:style>
  <w:style w:type="table" w:styleId="TableGrid">
    <w:name w:val="Table Grid"/>
    <w:basedOn w:val="TableNormal"/>
    <w:uiPriority w:val="99"/>
    <w:rsid w:val="00842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0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10</Pages>
  <Words>3157</Words>
  <Characters>17995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Работа</cp:lastModifiedBy>
  <cp:revision>10</cp:revision>
  <cp:lastPrinted>2020-02-05T13:21:00Z</cp:lastPrinted>
  <dcterms:created xsi:type="dcterms:W3CDTF">2020-06-09T20:15:00Z</dcterms:created>
  <dcterms:modified xsi:type="dcterms:W3CDTF">2021-01-26T06:31:00Z</dcterms:modified>
</cp:coreProperties>
</file>