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B8" w:rsidRDefault="008950B8" w:rsidP="008950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8950B8" w:rsidRDefault="008950B8" w:rsidP="008950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Парапинского сельского поселения</w:t>
      </w:r>
    </w:p>
    <w:p w:rsidR="008950B8" w:rsidRDefault="008950B8" w:rsidP="008950B8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Ковылкинского</w:t>
      </w:r>
      <w:proofErr w:type="spellEnd"/>
      <w:r>
        <w:rPr>
          <w:b/>
          <w:bCs/>
          <w:sz w:val="32"/>
          <w:szCs w:val="32"/>
        </w:rPr>
        <w:t xml:space="preserve"> муниципального района</w:t>
      </w:r>
    </w:p>
    <w:p w:rsidR="008950B8" w:rsidRDefault="008950B8" w:rsidP="008950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Республики Мордовия</w:t>
      </w:r>
    </w:p>
    <w:p w:rsidR="008950B8" w:rsidRDefault="008950B8" w:rsidP="008950B8">
      <w:pPr>
        <w:jc w:val="center"/>
        <w:rPr>
          <w:sz w:val="32"/>
          <w:szCs w:val="32"/>
        </w:rPr>
      </w:pPr>
    </w:p>
    <w:p w:rsidR="008950B8" w:rsidRDefault="008950B8" w:rsidP="008950B8">
      <w:pPr>
        <w:tabs>
          <w:tab w:val="left" w:pos="397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РЕШЕНИЕ</w:t>
      </w:r>
    </w:p>
    <w:p w:rsidR="008950B8" w:rsidRDefault="008950B8" w:rsidP="008950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050"/>
        <w:gridCol w:w="4490"/>
      </w:tblGrid>
      <w:tr w:rsidR="008950B8" w:rsidTr="008950B8">
        <w:trPr>
          <w:trHeight w:val="492"/>
        </w:trPr>
        <w:tc>
          <w:tcPr>
            <w:tcW w:w="5050" w:type="dxa"/>
            <w:hideMark/>
          </w:tcPr>
          <w:p w:rsidR="008950B8" w:rsidRDefault="008950B8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29декабря 2014 года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                                      </w:t>
            </w:r>
          </w:p>
        </w:tc>
        <w:tc>
          <w:tcPr>
            <w:tcW w:w="4490" w:type="dxa"/>
            <w:hideMark/>
          </w:tcPr>
          <w:p w:rsidR="008950B8" w:rsidRDefault="008950B8">
            <w:pPr>
              <w:tabs>
                <w:tab w:val="left" w:pos="4028"/>
              </w:tabs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№ 5 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:rsidR="008950B8" w:rsidRDefault="008950B8" w:rsidP="008950B8">
      <w:pPr>
        <w:spacing w:line="232" w:lineRule="auto"/>
        <w:outlineLvl w:val="0"/>
        <w:rPr>
          <w:b/>
          <w:bCs/>
          <w:caps/>
          <w:sz w:val="28"/>
          <w:szCs w:val="28"/>
        </w:rPr>
      </w:pPr>
    </w:p>
    <w:p w:rsidR="008950B8" w:rsidRDefault="008950B8" w:rsidP="008950B8">
      <w:pPr>
        <w:spacing w:line="23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бюджета Парапинского 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на 2015 год </w:t>
      </w:r>
    </w:p>
    <w:p w:rsidR="008950B8" w:rsidRDefault="008950B8" w:rsidP="008950B8">
      <w:pPr>
        <w:spacing w:line="232" w:lineRule="auto"/>
        <w:rPr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 соответствии с Бюджетным кодексом Российской Федерации и на основании прогноза социально – экономического развития Парапинского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утверждает объем доходов и расходов, дефицит, а также иные показатели  бюджета Парапинского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2015 год.</w:t>
      </w:r>
    </w:p>
    <w:p w:rsidR="008950B8" w:rsidRDefault="008950B8" w:rsidP="008950B8">
      <w:pPr>
        <w:pStyle w:val="ConsPlusTitle"/>
        <w:widowControl/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Title"/>
        <w:widowControl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8950B8" w:rsidRDefault="008950B8" w:rsidP="008950B8">
      <w:pPr>
        <w:pStyle w:val="ConsPlusNormal0"/>
        <w:widowControl/>
        <w:spacing w:line="23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32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 а т ь я 1. Основные характеристики бюджета Парапинского  сельского поселения 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местный бюджет Парапинского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 местный бюджет) на 2015 год по доходам в сумме  2921,3 тыс. рублей, расходам в сумме 2921,3 тыс. рублей, исходя из уровня инфляции, не превышающего 4,5 процентов (декабрь 2015 года к декабрю 2014 года).</w:t>
      </w:r>
    </w:p>
    <w:p w:rsidR="008950B8" w:rsidRDefault="008950B8" w:rsidP="008950B8">
      <w:pPr>
        <w:pStyle w:val="ConsPlusNormal0"/>
        <w:widowControl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32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 т а т ь я 2. Общая характеристика доходов местного бюджета и формирование доходов местного бюджета</w:t>
      </w:r>
    </w:p>
    <w:p w:rsidR="008950B8" w:rsidRDefault="008950B8" w:rsidP="008950B8">
      <w:pPr>
        <w:pStyle w:val="ConsPlusNormal0"/>
        <w:widowControl/>
        <w:spacing w:line="232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1.Доходы местного бюджета формируются за счет федеральных налогов и сборов, в том числе налогов, предусмотренных специальными налоговыми режимами, региональных налогов и неналоговых доходов, местных налогов – в соответствии с нормативами отчислений, установленными федеральным законодательством, законодательством Республики Мордовия, нормативно – правовыми актами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района, а также за счет безвозмездных поступлений.</w:t>
      </w:r>
    </w:p>
    <w:p w:rsidR="008950B8" w:rsidRDefault="008950B8" w:rsidP="00895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2.Перечень главных администраторов доходов местного бюджета утверждается согласно приложению 1 к настоящему Решению.</w:t>
      </w:r>
    </w:p>
    <w:p w:rsidR="008950B8" w:rsidRDefault="008950B8" w:rsidP="008950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sz w:val="28"/>
          <w:szCs w:val="28"/>
        </w:rPr>
        <w:t xml:space="preserve"> утверждается согласно приложению 2  к настоящему Решению.</w:t>
      </w:r>
    </w:p>
    <w:p w:rsidR="008950B8" w:rsidRDefault="008950B8" w:rsidP="008950B8">
      <w:pPr>
        <w:ind w:firstLine="720"/>
        <w:jc w:val="both"/>
        <w:rPr>
          <w:sz w:val="28"/>
          <w:szCs w:val="28"/>
        </w:rPr>
      </w:pPr>
    </w:p>
    <w:p w:rsidR="008950B8" w:rsidRDefault="008950B8" w:rsidP="008950B8">
      <w:pPr>
        <w:ind w:firstLine="720"/>
        <w:jc w:val="both"/>
        <w:rPr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32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OLE_LINK4"/>
      <w:bookmarkStart w:id="1" w:name="OLE_LINK3"/>
      <w:r>
        <w:rPr>
          <w:rFonts w:ascii="Times New Roman" w:hAnsi="Times New Roman" w:cs="Times New Roman"/>
          <w:b/>
          <w:sz w:val="28"/>
          <w:szCs w:val="28"/>
        </w:rPr>
        <w:t>С т а т ь я</w:t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3. Межбюджетные трансферты, получаемые из других бюджетов бюджетной системы Российской Федерации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согласно приложению3 к настоящему Решению.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32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 т а т ь я  4. Распределение расходов местного бюджета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из местного бюджета предоставляются согласно:</w:t>
      </w:r>
    </w:p>
    <w:p w:rsidR="008950B8" w:rsidRDefault="008950B8" w:rsidP="008950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распределению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>
        <w:rPr>
          <w:sz w:val="28"/>
          <w:szCs w:val="28"/>
        </w:rPr>
        <w:t>расходов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классификации расходов бюджетов Российской Федерации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2015 год </w:t>
      </w:r>
      <w:r>
        <w:rPr>
          <w:sz w:val="28"/>
          <w:szCs w:val="28"/>
        </w:rPr>
        <w:t xml:space="preserve">согласно приложениям 4 к настоящему Решению; </w:t>
      </w:r>
    </w:p>
    <w:p w:rsidR="008950B8" w:rsidRDefault="008950B8" w:rsidP="008950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ведомственной структуре расходов местного бюджета </w:t>
      </w:r>
      <w:r>
        <w:rPr>
          <w:bCs/>
          <w:sz w:val="28"/>
          <w:szCs w:val="28"/>
        </w:rPr>
        <w:t xml:space="preserve">на 2015 год </w:t>
      </w:r>
      <w:r>
        <w:rPr>
          <w:sz w:val="28"/>
          <w:szCs w:val="28"/>
        </w:rPr>
        <w:t>согласно приложениям 5 к настоящему Решению.</w:t>
      </w:r>
    </w:p>
    <w:p w:rsidR="008950B8" w:rsidRDefault="008950B8" w:rsidP="008950B8">
      <w:pPr>
        <w:pStyle w:val="ConsPlusTitle"/>
        <w:widowControl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Title"/>
        <w:widowControl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 Л А В А 2. РАСХОДЫ НА ОКАЗАНИЕ МУНИЦИПАЛЬНЫХ  УСЛУГ</w:t>
      </w:r>
    </w:p>
    <w:p w:rsidR="008950B8" w:rsidRDefault="008950B8" w:rsidP="008950B8">
      <w:pPr>
        <w:pStyle w:val="ConsPlusNormal0"/>
        <w:widowControl/>
        <w:spacing w:line="232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32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 т а т ь я 5. Бюджетные ассигнования на обеспечение выполнения функций казенных учреждений Парапинского  сельского поселения, в том числе по оказанию муниципальных услуг (выполнению работ) физическим и (или) юридическим лицам  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Казенным учреждениям Парапинского  сельского поселения из местного  бюджета предоставляются средства на обеспечение выполнения их функций,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труда  работников казенных учреждений, денежное содержание (денежное вознаграждение, заработную плату) работников органов муниципальной  власти (муниципальных органов), лиц, замещающих муниципальные должности, муниципальных служащих, иных категорий работников, командировочные и иные выплаты в соответствии с трудовыми договорами (трудовыми контрактами), законодательством Российской Федерации и Республики Мордовия;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поставок товаров, выполнения работ, оказания услуг для муниципальных нужд;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уплату налогов, сборов и иных обязательных платежей в бюджетную систему Российской Федерации;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возмещение вреда, причиненного бюджетным учреждением при осуществлении его деятельности.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32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 т а т ь я 6. Бюджетные ассигнования на закупку товаров, работ, услуг для муниципальных нужд  Парапинского  сельского поселения.</w:t>
      </w:r>
    </w:p>
    <w:p w:rsidR="008950B8" w:rsidRDefault="008950B8" w:rsidP="008950B8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местного бюджета предоставляются бюджетные ассигнования на закупку товаров, работ, услуг для муниципальных нужд Парапинского  сельского поселения в целях оказания муниципальных услуг физическим и юридическим лицам (за исключением бюджетных ассигнований для обеспечения выполнения функций казенного учреждения).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32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 т а т ь я 7. Предоставление субсидий бюджетным и автономным  учреждениям Парапинского  сельского поселения.</w:t>
      </w:r>
    </w:p>
    <w:p w:rsidR="008950B8" w:rsidRDefault="008950B8" w:rsidP="008950B8">
      <w:pPr>
        <w:autoSpaceDE w:val="0"/>
        <w:autoSpaceDN w:val="0"/>
        <w:adjustRightInd w:val="0"/>
        <w:spacing w:line="228" w:lineRule="auto"/>
        <w:ind w:firstLine="540"/>
        <w:jc w:val="both"/>
        <w:rPr>
          <w:b/>
          <w:sz w:val="28"/>
          <w:szCs w:val="28"/>
        </w:rPr>
      </w:pPr>
    </w:p>
    <w:p w:rsidR="008950B8" w:rsidRDefault="008950B8" w:rsidP="008950B8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 предоставляются субсидии бюджетным и автономным учреждениям Парапинского  сельского поселения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8950B8" w:rsidRDefault="008950B8" w:rsidP="008950B8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 предоставляются субсидии бюджетным и автономным учреждениям Парапинского  сельского поселения на иные цели.</w:t>
      </w:r>
    </w:p>
    <w:p w:rsidR="008950B8" w:rsidRDefault="008950B8" w:rsidP="008950B8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определения объема и условий предоставления субсидий на иные цели устанавливается администрацией Парапинского  сельского поселения. </w:t>
      </w:r>
    </w:p>
    <w:p w:rsidR="008950B8" w:rsidRDefault="008950B8" w:rsidP="008950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0B8" w:rsidRDefault="008950B8" w:rsidP="008950B8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 А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 А 3. РАСХОДЫ НА СОЦИАЛЬНОЕ ОБЕСПЕЧЕНИЕ НАСЕЛЕНИЯ</w:t>
      </w:r>
    </w:p>
    <w:p w:rsidR="008950B8" w:rsidRDefault="008950B8" w:rsidP="008950B8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32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 т а т ь я 8. Бюджетные ассигнования на социальное обеспечение населения, связанные с предоставлением мер социальной поддержки</w:t>
      </w:r>
    </w:p>
    <w:p w:rsidR="008950B8" w:rsidRDefault="008950B8" w:rsidP="008950B8">
      <w:pPr>
        <w:pStyle w:val="ConsPlusNormal0"/>
        <w:widowControl/>
        <w:spacing w:line="23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местного бюджета предоставляются бюджетные ассигнования, связанные с предоставлением пособий и иных выплат, являющихся мерами социальной поддержки отдельных категорий населения в соответствии с законодательством Республики Мордовия и нормативными правовыми актами администрации Парапинского  сельского селения.</w:t>
      </w:r>
    </w:p>
    <w:p w:rsidR="008950B8" w:rsidRDefault="008950B8" w:rsidP="008950B8">
      <w:pPr>
        <w:pStyle w:val="ConsPlusNormal0"/>
        <w:widowControl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32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 т а т ь я 9. Бюджетные ассигнования на социальное обеспечение населения, не связанные с предоставлением мер социальной поддержки</w:t>
      </w:r>
    </w:p>
    <w:p w:rsidR="008950B8" w:rsidRDefault="008950B8" w:rsidP="008950B8">
      <w:pPr>
        <w:pStyle w:val="ConsPlusNormal0"/>
        <w:widowControl/>
        <w:spacing w:line="23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местного бюджета предоставляются следующие бюджетные ассигнования на социальное обеспечение населения, не связанные с предоставлением мер социальной поддержки, в соответствии с законодательством Республики и правовыми актами администрации Парапинского сельского поселения. </w:t>
      </w:r>
    </w:p>
    <w:p w:rsidR="008950B8" w:rsidRDefault="008950B8" w:rsidP="008950B8">
      <w:pPr>
        <w:pStyle w:val="ConsPlusTitle"/>
        <w:widowControl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Title"/>
        <w:widowControl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 Л А В А 4. ЗАКЛЮЧИТЕЛЬНЫЕ ПОЛОЖЕНИЯ О РАСХОДАХ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 т а т ь я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Резервный фонд администрации Парапинского  сельского поселения 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размер резервного фонда администрации Парапинского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2015 год в сумме 15,0 тыс. рублей.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Средства резервного фонда администрации Парапинского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расходуются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Средства резервного фонда администрации Парапинского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предусмотренные в составе районного бюджета, используются по решению администрации Парапинского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расходования средств резервного фонда администрации Парапинского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устанавливается администрацией Парапинского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Отчет об использовании бюджетных ассигнований из резервного фонда администрации Парапинского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прилагается к ежеквартальному и годовому отчетам об исполнении районного бюджета.</w:t>
      </w:r>
    </w:p>
    <w:p w:rsidR="008950B8" w:rsidRDefault="008950B8" w:rsidP="008950B8">
      <w:pPr>
        <w:pStyle w:val="ConsPlusTitle"/>
        <w:widowControl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32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32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 т а т ь я  11. Объем расходов на обслуживание муниципального долга Парапинского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950B8" w:rsidRDefault="008950B8" w:rsidP="008950B8">
      <w:pPr>
        <w:pStyle w:val="ConsPlusNormal0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autoSpaceDE w:val="0"/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обслуживание муниципального долга Парапинского  сельского поселения в 2015 году составляет 10,0 тыс. рублей.</w:t>
      </w:r>
    </w:p>
    <w:p w:rsidR="008950B8" w:rsidRDefault="008950B8" w:rsidP="008950B8">
      <w:pPr>
        <w:pStyle w:val="ConsPlusNormal0"/>
        <w:widowControl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32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 т а т ь я  12. Расходы на исполнение судебных актов по искам к Парапинского сельскому поселению </w:t>
      </w:r>
    </w:p>
    <w:p w:rsidR="008950B8" w:rsidRDefault="008950B8" w:rsidP="008950B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8950B8" w:rsidRDefault="008950B8" w:rsidP="008950B8">
      <w:pPr>
        <w:autoSpaceDE w:val="0"/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местного бюджета предоставляются бюджетные ассигнования на исполнение судебных актов по искам к </w:t>
      </w:r>
      <w:proofErr w:type="spellStart"/>
      <w:r>
        <w:rPr>
          <w:sz w:val="28"/>
          <w:szCs w:val="28"/>
        </w:rPr>
        <w:t>Парапинскому</w:t>
      </w:r>
      <w:proofErr w:type="spellEnd"/>
      <w:r>
        <w:rPr>
          <w:sz w:val="28"/>
          <w:szCs w:val="28"/>
        </w:rPr>
        <w:t xml:space="preserve"> сельскому поселению о возмещении вреда, причиненного гражданину или юридическому лицу в результате незаконных действий (бездействия) органов муниципальной власти (муниципальных органов) либо должностных лиц этих органов.</w:t>
      </w:r>
    </w:p>
    <w:p w:rsidR="008950B8" w:rsidRDefault="008950B8" w:rsidP="008950B8">
      <w:pPr>
        <w:tabs>
          <w:tab w:val="left" w:pos="6747"/>
        </w:tabs>
        <w:ind w:firstLine="720"/>
        <w:rPr>
          <w:sz w:val="28"/>
          <w:szCs w:val="28"/>
        </w:rPr>
      </w:pPr>
    </w:p>
    <w:p w:rsidR="008950B8" w:rsidRDefault="008950B8" w:rsidP="008950B8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 т а т ь я  13.Особенности исполнения  бюджета Парапинского  сельского поселения на 2015 год </w:t>
      </w:r>
    </w:p>
    <w:p w:rsidR="008950B8" w:rsidRDefault="008950B8" w:rsidP="008950B8">
      <w:pPr>
        <w:tabs>
          <w:tab w:val="left" w:pos="674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50B8" w:rsidRDefault="008950B8" w:rsidP="008950B8">
      <w:pPr>
        <w:tabs>
          <w:tab w:val="left" w:pos="674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использованные по состоянию на 1 января 2015 года остатки межбюджетных трансфертов, предоставленных из районного бюджета бюджетам поселений в форме иных межбюджетных трансфертов, имеющих целевое назначение, подлежат возврату в районный бюджет в течение первых пятнадцати рабочих дней 2015 года.</w:t>
      </w:r>
    </w:p>
    <w:p w:rsidR="008950B8" w:rsidRDefault="008950B8" w:rsidP="008950B8">
      <w:pPr>
        <w:tabs>
          <w:tab w:val="left" w:pos="674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использованные по состоянию на 1 января 2015 года остатки иных межбюджетных трансфертов, имеющих целевое назначение (за исключением межбюджетных трансфертов, предоставленных за счет целевых средств республиканского бюджета Республики Мордовия) могут использоваться в очередном финансовом году на те же цели при наличии потребности в указанных трансфертах в соответствии с решением соответствующего главного администратора доходов местного бюджета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950B8" w:rsidRDefault="008950B8" w:rsidP="008950B8">
      <w:pPr>
        <w:tabs>
          <w:tab w:val="left" w:pos="6747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Принятие главным администратором доходов местного бюджета сельского поселения решения о наличии (об отсутствии) потребности в межбюджетных трансфертах, предоставленных в форме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в соответствии с отчетом о расходах</w:t>
      </w:r>
      <w:proofErr w:type="gramEnd"/>
      <w:r>
        <w:rPr>
          <w:sz w:val="28"/>
          <w:szCs w:val="28"/>
        </w:rPr>
        <w:t xml:space="preserve"> бюджета, которому они были ранее представлены, сформированного в порядке, установленном главным администратором доходов местного бюджета, и предоставленного не позднее 30 календарных дней со дня поступления указанных средств в местный бюджет.</w:t>
      </w:r>
    </w:p>
    <w:p w:rsidR="008950B8" w:rsidRDefault="008950B8" w:rsidP="008950B8">
      <w:pPr>
        <w:tabs>
          <w:tab w:val="left" w:pos="674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50B8" w:rsidRDefault="008950B8" w:rsidP="008950B8">
      <w:pPr>
        <w:autoSpaceDE w:val="0"/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</w:p>
    <w:p w:rsidR="008950B8" w:rsidRDefault="008950B8" w:rsidP="008950B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8950B8" w:rsidRDefault="008950B8" w:rsidP="008950B8">
      <w:pPr>
        <w:pStyle w:val="ConsPlusTitle"/>
        <w:widowControl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 Л А В А 5. ИСТОЧНИКИ ФИНАНСИРОВАНИЯ ДЕФИЦИТА МЕСТНОГО БЮДЖЕТА</w:t>
      </w:r>
    </w:p>
    <w:p w:rsidR="008950B8" w:rsidRDefault="008950B8" w:rsidP="008950B8">
      <w:pPr>
        <w:pStyle w:val="ConsPlusNormal0"/>
        <w:widowControl/>
        <w:spacing w:line="232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32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 т а т ь я 14. Источники внутреннего финансирования дефицита местного бюджета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Источником внутреннего финансирования дефицита местного бюджета является  изменение остатков средств на счетах по учету средств местного бюджета в течение соответствующего финансового года.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Размер поступлений из источников внутреннего финансирования дефицита местного бюджета на 2015 год определяется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к настоящему решению.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32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 т а т ь я 15. Предельный размер и формы муниципального  долга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B8" w:rsidRDefault="008950B8" w:rsidP="008950B8">
      <w:pPr>
        <w:pStyle w:val="ConsPlusNormal0"/>
        <w:widowControl/>
        <w:numPr>
          <w:ilvl w:val="0"/>
          <w:numId w:val="4"/>
        </w:numPr>
        <w:tabs>
          <w:tab w:val="num" w:pos="900"/>
        </w:tabs>
        <w:spacing w:line="22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Парапинского  сельского поселения на 2015 год устанавливается в сумме 700,1 тыс. рублей. </w:t>
      </w:r>
    </w:p>
    <w:p w:rsidR="008950B8" w:rsidRDefault="008950B8" w:rsidP="008950B8">
      <w:pPr>
        <w:pStyle w:val="ConsPlusNormal0"/>
        <w:widowControl/>
        <w:numPr>
          <w:ilvl w:val="0"/>
          <w:numId w:val="4"/>
        </w:numPr>
        <w:tabs>
          <w:tab w:val="num" w:pos="900"/>
        </w:tabs>
        <w:spacing w:line="22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Верхний предел муниципального внутреннего долга Парапинского сельского поселения на 1 января 2015 года устанавливается в сумме  700,1              тыс. рублей.</w:t>
      </w:r>
    </w:p>
    <w:p w:rsidR="008950B8" w:rsidRDefault="008950B8" w:rsidP="008950B8">
      <w:pPr>
        <w:pStyle w:val="ConsPlusNormal0"/>
        <w:widowControl/>
        <w:numPr>
          <w:ilvl w:val="0"/>
          <w:numId w:val="4"/>
        </w:numPr>
        <w:tabs>
          <w:tab w:val="num" w:pos="900"/>
        </w:tabs>
        <w:spacing w:line="22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в 2015 году муниципальные гарантии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Парапинским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сельским поселением  не предоставляются.</w:t>
      </w:r>
    </w:p>
    <w:p w:rsidR="008950B8" w:rsidRDefault="008950B8" w:rsidP="008950B8">
      <w:pPr>
        <w:pStyle w:val="ConsPlusNormal0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Title"/>
        <w:widowControl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ЗАКЛЮЧИТЕЛЬНЫЕ ПОЛОЖЕНИЯ</w:t>
      </w:r>
    </w:p>
    <w:p w:rsidR="008950B8" w:rsidRDefault="008950B8" w:rsidP="008950B8">
      <w:pPr>
        <w:pStyle w:val="ConsPlusNormal0"/>
        <w:widowControl/>
        <w:spacing w:line="232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32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 т а т ь я 16. Действие настоящего решения во времени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2015года.</w:t>
      </w:r>
    </w:p>
    <w:p w:rsidR="008950B8" w:rsidRDefault="008950B8" w:rsidP="008950B8">
      <w:pPr>
        <w:pStyle w:val="ConsPlusNormal0"/>
        <w:widowControl/>
        <w:spacing w:line="232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32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17. Действие нормативных правовых актов Парапинского сельского поселения</w:t>
      </w:r>
    </w:p>
    <w:p w:rsidR="008950B8" w:rsidRDefault="008950B8" w:rsidP="008950B8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</w:p>
    <w:p w:rsidR="008950B8" w:rsidRDefault="008950B8" w:rsidP="008950B8">
      <w:pPr>
        <w:autoSpaceDE w:val="0"/>
        <w:autoSpaceDN w:val="0"/>
        <w:adjustRightInd w:val="0"/>
        <w:spacing w:line="252" w:lineRule="auto"/>
        <w:ind w:firstLine="72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нормативные правовые акты Парапинского  сельского поселения, принятые на основе и во исполнение Решений Совета депутатов Парапинского  сельского поселения муниципального района «О бюджете  Парапинского 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на 2015 год», «О бюджете Парапинского 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на 2016 год», «О бюджете Парапинского  сельского поселения  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на 2017 год», действуют в части, не противоречащей</w:t>
      </w:r>
      <w:proofErr w:type="gramEnd"/>
      <w:r>
        <w:rPr>
          <w:sz w:val="28"/>
          <w:szCs w:val="28"/>
        </w:rPr>
        <w:t xml:space="preserve"> настоящему Решению.</w:t>
      </w: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pStyle w:val="ConsPlusNormal0"/>
        <w:widowControl/>
        <w:spacing w:line="23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Парапинского  сельского поселения </w:t>
      </w:r>
    </w:p>
    <w:p w:rsidR="008950B8" w:rsidRDefault="008950B8" w:rsidP="008950B8">
      <w:pPr>
        <w:pStyle w:val="ConsPlusNormal0"/>
        <w:widowControl/>
        <w:spacing w:line="232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950B8" w:rsidRDefault="008950B8" w:rsidP="008950B8">
      <w:pPr>
        <w:pStyle w:val="ConsPlusNormal0"/>
        <w:widowControl/>
        <w:spacing w:line="23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Е.Е.Кечина</w:t>
      </w:r>
      <w:proofErr w:type="spellEnd"/>
    </w:p>
    <w:p w:rsidR="008950B8" w:rsidRDefault="008950B8" w:rsidP="008950B8">
      <w:pPr>
        <w:pStyle w:val="ConsPlusNormal0"/>
        <w:widowControl/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776"/>
        <w:gridCol w:w="1940"/>
        <w:gridCol w:w="5669"/>
      </w:tblGrid>
      <w:tr w:rsidR="008950B8" w:rsidTr="008950B8">
        <w:trPr>
          <w:trHeight w:val="375"/>
          <w:tblCellSpacing w:w="0" w:type="dxa"/>
        </w:trPr>
        <w:tc>
          <w:tcPr>
            <w:tcW w:w="3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Приложение № 1</w:t>
            </w:r>
          </w:p>
        </w:tc>
      </w:tr>
      <w:tr w:rsidR="008950B8" w:rsidTr="008950B8">
        <w:trPr>
          <w:trHeight w:val="375"/>
          <w:tblCellSpacing w:w="0" w:type="dxa"/>
        </w:trPr>
        <w:tc>
          <w:tcPr>
            <w:tcW w:w="3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к решению Совета депутатов Парапинского с\</w:t>
            </w:r>
            <w:proofErr w:type="gramStart"/>
            <w:r>
              <w:rPr>
                <w:color w:val="000000"/>
                <w:sz w:val="27"/>
                <w:szCs w:val="27"/>
                <w:lang w:eastAsia="en-US"/>
              </w:rPr>
              <w:t>п</w:t>
            </w:r>
            <w:proofErr w:type="gramEnd"/>
          </w:p>
        </w:tc>
      </w:tr>
      <w:tr w:rsidR="008950B8" w:rsidTr="008950B8">
        <w:trPr>
          <w:trHeight w:val="375"/>
          <w:tblCellSpacing w:w="0" w:type="dxa"/>
        </w:trPr>
        <w:tc>
          <w:tcPr>
            <w:tcW w:w="3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Ковылкинского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муниципального района</w:t>
            </w:r>
          </w:p>
        </w:tc>
      </w:tr>
      <w:tr w:rsidR="008950B8" w:rsidTr="008950B8">
        <w:trPr>
          <w:trHeight w:val="360"/>
          <w:tblCellSpacing w:w="0" w:type="dxa"/>
        </w:trPr>
        <w:tc>
          <w:tcPr>
            <w:tcW w:w="3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от _29.12.2014г №__5__ </w:t>
            </w:r>
          </w:p>
        </w:tc>
      </w:tr>
      <w:tr w:rsidR="008950B8" w:rsidTr="008950B8">
        <w:trPr>
          <w:trHeight w:val="375"/>
          <w:tblCellSpacing w:w="0" w:type="dxa"/>
        </w:trPr>
        <w:tc>
          <w:tcPr>
            <w:tcW w:w="3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60"/>
          <w:tblCellSpacing w:w="0" w:type="dxa"/>
        </w:trPr>
        <w:tc>
          <w:tcPr>
            <w:tcW w:w="3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60"/>
          <w:tblCellSpacing w:w="0" w:type="dxa"/>
        </w:trPr>
        <w:tc>
          <w:tcPr>
            <w:tcW w:w="3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7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ПЕРЕЧЕНЬ</w:t>
            </w:r>
          </w:p>
        </w:tc>
      </w:tr>
      <w:tr w:rsidR="008950B8" w:rsidTr="008950B8">
        <w:trPr>
          <w:trHeight w:val="37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ГЛАВНЫХ АДМИНИСТРАТОРОВ ДОХОДОВ РАЙОННОГО БЮДЖЕТА</w:t>
            </w:r>
          </w:p>
        </w:tc>
      </w:tr>
      <w:tr w:rsidR="008950B8" w:rsidTr="008950B8">
        <w:trPr>
          <w:trHeight w:val="37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КОВЫЛКИНСКОГО МУНИЦИПАЛЬНОГО РАЙОНА</w:t>
            </w:r>
          </w:p>
        </w:tc>
      </w:tr>
      <w:tr w:rsidR="008950B8" w:rsidTr="008950B8">
        <w:trPr>
          <w:trHeight w:val="375"/>
          <w:tblCellSpacing w:w="0" w:type="dxa"/>
        </w:trPr>
        <w:tc>
          <w:tcPr>
            <w:tcW w:w="3716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945"/>
          <w:tblCellSpacing w:w="0" w:type="dxa"/>
        </w:trPr>
        <w:tc>
          <w:tcPr>
            <w:tcW w:w="37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6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главного администратора доходов</w:t>
            </w:r>
          </w:p>
        </w:tc>
      </w:tr>
      <w:tr w:rsidR="008950B8" w:rsidTr="008950B8">
        <w:trPr>
          <w:trHeight w:val="1590"/>
          <w:tblCellSpacing w:w="0" w:type="dxa"/>
        </w:trPr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главного администратора доходов</w:t>
            </w:r>
          </w:p>
        </w:tc>
        <w:tc>
          <w:tcPr>
            <w:tcW w:w="1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доходов </w:t>
            </w:r>
            <w:proofErr w:type="gramStart"/>
            <w:r>
              <w:rPr>
                <w:color w:val="000000"/>
                <w:lang w:eastAsia="en-US"/>
              </w:rPr>
              <w:t>республиканского</w:t>
            </w:r>
            <w:proofErr w:type="gramEnd"/>
            <w:r>
              <w:rPr>
                <w:color w:val="000000"/>
                <w:lang w:eastAsia="en-US"/>
              </w:rPr>
              <w:t xml:space="preserve"> и местных бюджетов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950B8" w:rsidRDefault="008950B8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</w:tr>
      <w:tr w:rsidR="008950B8" w:rsidTr="008950B8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Администрация Парапинского сельского поселения</w:t>
            </w:r>
          </w:p>
        </w:tc>
      </w:tr>
      <w:tr w:rsidR="008950B8" w:rsidTr="008950B8">
        <w:trPr>
          <w:trHeight w:val="18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1 11 05025 10 0000 120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8950B8" w:rsidTr="008950B8">
        <w:trPr>
          <w:trHeight w:val="18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1 11 05035 10 0000 120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950B8" w:rsidTr="008950B8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1 11 05075 10 0000 120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8950B8" w:rsidTr="008950B8">
        <w:trPr>
          <w:trHeight w:val="22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1 11 09045 10 0000 120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950B8" w:rsidTr="008950B8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1 12 05050 10 0000 120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8950B8" w:rsidTr="008950B8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1 13 01995 10 0000 130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Прочие доходы от оказания платных услу</w:t>
            </w:r>
            <w:proofErr w:type="gramStart"/>
            <w:r>
              <w:rPr>
                <w:color w:val="000000"/>
                <w:sz w:val="27"/>
                <w:szCs w:val="27"/>
                <w:lang w:eastAsia="en-US"/>
              </w:rPr>
              <w:t>г(</w:t>
            </w:r>
            <w:proofErr w:type="gramEnd"/>
            <w:r>
              <w:rPr>
                <w:color w:val="000000"/>
                <w:sz w:val="27"/>
                <w:szCs w:val="27"/>
                <w:lang w:eastAsia="en-US"/>
              </w:rPr>
              <w:t xml:space="preserve">работ) получателями средств бюджетов поселений </w:t>
            </w:r>
          </w:p>
        </w:tc>
      </w:tr>
      <w:tr w:rsidR="008950B8" w:rsidTr="008950B8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1 13 02995 10 0001 130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Прочие доходы от компенсации затрат бюджетов поселений, источником которых являются межбюджетные трансферты федерального бюджета</w:t>
            </w:r>
          </w:p>
        </w:tc>
      </w:tr>
      <w:tr w:rsidR="008950B8" w:rsidTr="008950B8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1 13 02995 10 0002 130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Прочие доходы от компенсации затрат бюджетов поселений, источником которых являются средства республиканского бюджета</w:t>
            </w:r>
          </w:p>
        </w:tc>
      </w:tr>
      <w:tr w:rsidR="008950B8" w:rsidTr="008950B8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1 13 02995 10 0004 130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Прочие доходы от компенсации затрат бюджетов поселений, источником которых являются средства муниципального района</w:t>
            </w:r>
          </w:p>
        </w:tc>
      </w:tr>
      <w:tr w:rsidR="008950B8" w:rsidTr="008950B8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1 13 02995 10 0005 130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Прочие доходы от компенсации затрат бюджетов поселений, источником которых являются средства поселений</w:t>
            </w:r>
          </w:p>
        </w:tc>
      </w:tr>
      <w:tr w:rsidR="008950B8" w:rsidTr="008950B8">
        <w:trPr>
          <w:trHeight w:val="22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1 14 02052 10 0000 410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8950B8" w:rsidTr="008950B8">
        <w:trPr>
          <w:trHeight w:val="22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1 14 02052 10 0000 440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8950B8" w:rsidTr="008950B8">
        <w:trPr>
          <w:trHeight w:val="22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1 14 02053 10 0000 410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8950B8" w:rsidTr="008950B8">
        <w:trPr>
          <w:trHeight w:val="22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1 14 02053 10 0000 440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8950B8" w:rsidTr="008950B8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1 15 02050 10 0000 140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8950B8" w:rsidTr="008950B8">
        <w:trPr>
          <w:trHeight w:val="18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1 16 23051 10 0000 140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8950B8" w:rsidTr="008950B8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1 16 23052 10 0000 140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8950B8" w:rsidTr="008950B8">
        <w:trPr>
          <w:trHeight w:val="15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1 16 51040 02 0000 140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950B8" w:rsidTr="008950B8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1 16 90050 10 0000 140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</w:tr>
      <w:tr w:rsidR="008950B8" w:rsidTr="008950B8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1 17 01050 10 0000 180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8950B8" w:rsidTr="008950B8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1 17 05050 10 0000 180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Прочие неналоговые доходы бюджетов поселений</w:t>
            </w:r>
          </w:p>
        </w:tc>
      </w:tr>
      <w:tr w:rsidR="008950B8" w:rsidTr="008950B8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2 18 05030 10 0000 180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8950B8" w:rsidTr="008950B8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2 19 05000 10 0000 151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950B8" w:rsidTr="008950B8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2 00 00000 00 0000 000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Безвозмездные поступления </w:t>
            </w:r>
          </w:p>
        </w:tc>
      </w:tr>
      <w:tr w:rsidR="008950B8" w:rsidTr="008950B8">
        <w:trPr>
          <w:trHeight w:val="26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2 08 05000 10 0000 180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881"/>
        <w:gridCol w:w="2998"/>
        <w:gridCol w:w="4097"/>
        <w:gridCol w:w="409"/>
      </w:tblGrid>
      <w:tr w:rsidR="008950B8" w:rsidTr="008950B8">
        <w:trPr>
          <w:trHeight w:val="375"/>
          <w:tblCellSpacing w:w="0" w:type="dxa"/>
        </w:trPr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Приложение № 2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7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к решению сессии Совета депутатов Парапинского с\</w:t>
            </w:r>
            <w:proofErr w:type="gramStart"/>
            <w:r>
              <w:rPr>
                <w:color w:val="000000"/>
                <w:sz w:val="27"/>
                <w:szCs w:val="27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7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Ковылкинского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муниципального района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6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От 29.12.2014 №5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106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40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ПЕРЕЧЕНЬ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88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 xml:space="preserve">ГЛАВНЫХ АДМИНИСТРАТОРОВ ИСТОЧНИКОВ ФИНАНСИРОВАНИЯ ДЕФИЦИТА РАЙОННОГО БЮДЖЕТА КОВЫЛКИНСКОГО МУНИЦИПАЛЬНОГО РАЙОНА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3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645"/>
          <w:tblCellSpacing w:w="0" w:type="dxa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главного </w:t>
            </w:r>
            <w:proofErr w:type="gramStart"/>
            <w:r>
              <w:rPr>
                <w:color w:val="000000"/>
                <w:lang w:eastAsia="en-US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96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администратора доходов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источников внутреннего финансирования дефицита республиканского бюджета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950B8" w:rsidRDefault="008950B8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63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928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Администрация Парапинского сельского поселения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Ковылкинского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01 02 00 00 10 0000 710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01 02 00 00 10 0000 810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01 03 01 00 10 0000 710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01 03 01 00 10 0000 810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01 05 02 01 10 0000 510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01 05 02 01 10 0000 610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6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01 06 01 00 10 0000 630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301"/>
        <w:gridCol w:w="4693"/>
        <w:gridCol w:w="2391"/>
      </w:tblGrid>
      <w:tr w:rsidR="008950B8" w:rsidTr="008950B8">
        <w:trPr>
          <w:trHeight w:val="360"/>
          <w:tblCellSpacing w:w="0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Приложение 3</w:t>
            </w:r>
          </w:p>
        </w:tc>
      </w:tr>
      <w:tr w:rsidR="008950B8" w:rsidTr="008950B8">
        <w:trPr>
          <w:trHeight w:val="36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к решению Совета депутатов </w:t>
            </w:r>
          </w:p>
        </w:tc>
      </w:tr>
      <w:tr w:rsidR="008950B8" w:rsidTr="008950B8">
        <w:trPr>
          <w:trHeight w:val="36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Парапинского сельского поселения</w:t>
            </w:r>
          </w:p>
        </w:tc>
      </w:tr>
      <w:tr w:rsidR="008950B8" w:rsidTr="008950B8">
        <w:trPr>
          <w:trHeight w:val="36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Ковылкинского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</w:t>
            </w:r>
          </w:p>
        </w:tc>
      </w:tr>
      <w:tr w:rsidR="008950B8" w:rsidTr="008950B8">
        <w:trPr>
          <w:trHeight w:val="36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29.12.2014г №5</w:t>
            </w:r>
          </w:p>
        </w:tc>
      </w:tr>
      <w:tr w:rsidR="008950B8" w:rsidTr="008950B8">
        <w:trPr>
          <w:trHeight w:val="36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1560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7"/>
                <w:szCs w:val="27"/>
                <w:lang w:eastAsia="en-US"/>
              </w:rPr>
              <w:t>МЕЖБЮДЖЕТНЫЕ ТРАНСФЕРТЫ, ПОЛУЧАЕМЫЕ ИЗ ДРУГИХ БЮДЖЕТОВ БЮДЖЕТНОЙ СИСТЕМЫ РОССИЙСКОЙ ФЕДЕРАЦИИ на 2015 год</w:t>
            </w:r>
          </w:p>
        </w:tc>
      </w:tr>
      <w:tr w:rsidR="008950B8" w:rsidTr="008950B8">
        <w:trPr>
          <w:trHeight w:val="37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7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2 446,2</w:t>
            </w:r>
          </w:p>
        </w:tc>
      </w:tr>
      <w:tr w:rsidR="008950B8" w:rsidTr="008950B8">
        <w:trPr>
          <w:trHeight w:val="66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2 446,2</w:t>
            </w:r>
          </w:p>
        </w:tc>
      </w:tr>
      <w:tr w:rsidR="008950B8" w:rsidTr="008950B8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2 02 01000 00 0000 151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206,3</w:t>
            </w:r>
          </w:p>
        </w:tc>
      </w:tr>
      <w:tr w:rsidR="008950B8" w:rsidTr="008950B8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2 02 01001 00 0000 151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206,3</w:t>
            </w:r>
          </w:p>
        </w:tc>
      </w:tr>
      <w:tr w:rsidR="008950B8" w:rsidTr="008950B8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20201001100000100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206,3</w:t>
            </w:r>
          </w:p>
        </w:tc>
      </w:tr>
      <w:tr w:rsidR="008950B8" w:rsidTr="008950B8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2020200000 0000 151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2 185,3</w:t>
            </w:r>
          </w:p>
        </w:tc>
      </w:tr>
      <w:tr w:rsidR="008950B8" w:rsidTr="008950B8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2020207700 0000 151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Субсидии бюджетам на </w:t>
            </w:r>
            <w:proofErr w:type="spellStart"/>
            <w:r>
              <w:rPr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950B8" w:rsidTr="008950B8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2020207710 0000 151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Субсидии бюджетам поселений на </w:t>
            </w:r>
            <w:proofErr w:type="spellStart"/>
            <w:r>
              <w:rPr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2020299900 0000 151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Прочие 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2 185,3</w:t>
            </w:r>
          </w:p>
        </w:tc>
      </w:tr>
      <w:tr w:rsidR="008950B8" w:rsidTr="008950B8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2020299910 0000 151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2 185,3</w:t>
            </w:r>
          </w:p>
        </w:tc>
      </w:tr>
      <w:tr w:rsidR="008950B8" w:rsidTr="008950B8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2020300000 0000 151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54,6</w:t>
            </w:r>
          </w:p>
        </w:tc>
      </w:tr>
      <w:tr w:rsidR="008950B8" w:rsidTr="008950B8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2020301500 0000 151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54,3</w:t>
            </w:r>
          </w:p>
        </w:tc>
      </w:tr>
      <w:tr w:rsidR="008950B8" w:rsidTr="008950B8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2020301510 0000 151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54,3</w:t>
            </w:r>
          </w:p>
        </w:tc>
      </w:tr>
      <w:tr w:rsidR="008950B8" w:rsidTr="008950B8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2020302400 0000 151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</w:tr>
    </w:tbl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904"/>
        <w:gridCol w:w="1864"/>
        <w:gridCol w:w="1223"/>
        <w:gridCol w:w="239"/>
        <w:gridCol w:w="176"/>
        <w:gridCol w:w="406"/>
        <w:gridCol w:w="436"/>
        <w:gridCol w:w="1137"/>
      </w:tblGrid>
      <w:tr w:rsidR="008950B8" w:rsidTr="008950B8">
        <w:trPr>
          <w:trHeight w:val="375"/>
          <w:tblCellSpacing w:w="0" w:type="dxa"/>
        </w:trPr>
        <w:tc>
          <w:tcPr>
            <w:tcW w:w="6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Приложение 4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7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к решению Совета депутатов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7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Парапинского сельского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6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29.12.2014г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№5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3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3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525"/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1665"/>
          <w:tblCellSpacing w:w="0" w:type="dxa"/>
        </w:trPr>
        <w:tc>
          <w:tcPr>
            <w:tcW w:w="0" w:type="auto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 xml:space="preserve">РАСПРЕДЕЛЕНИЕ РАСХОДОВ МЕСТНОГО БЮДЖЕТА ПАРАПИНСКОГО СЕЛЬСКОГО ПОСЕЛЕНИЯ КОВЫЛКИНСКОГО МУНИЦИПАЛЬНОГО РАЙОНА РЕСПУБЛИКИ МОРДОВИЯ НА 2014 ГОД ПО РАЗДЕЛАМ, ПОДРАЗДЕЛАМ, ЦЕЛЕВЫМ СТАТЬЯМ И ВИДАМ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58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ПРз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Сумма (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.)</w:t>
            </w:r>
          </w:p>
        </w:tc>
      </w:tr>
      <w:tr w:rsidR="008950B8" w:rsidTr="008950B8">
        <w:trPr>
          <w:trHeight w:val="46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7"/>
                <w:szCs w:val="27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 Narrow" w:hAnsi="Helvetica Narrow" w:cs="Arial CYR"/>
                <w:b/>
                <w:bCs/>
                <w:color w:val="000000"/>
                <w:sz w:val="27"/>
                <w:szCs w:val="27"/>
                <w:lang w:eastAsia="en-US"/>
              </w:rPr>
              <w:t>2 921,3</w:t>
            </w:r>
          </w:p>
        </w:tc>
      </w:tr>
      <w:tr w:rsidR="008950B8" w:rsidTr="008950B8">
        <w:trPr>
          <w:trHeight w:val="27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Администрация ПАРАПИНСКОГО СЕЛЬСКОГО ПОСЕЛЕНИЯ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nil"/>
              <w:right w:val="single" w:sz="1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2 921,3</w:t>
            </w: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1 307,1</w:t>
            </w:r>
          </w:p>
        </w:tc>
      </w:tr>
      <w:tr w:rsidR="008950B8" w:rsidTr="008950B8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180,3</w:t>
            </w: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180,3</w:t>
            </w: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180,3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180,3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180,3</w:t>
            </w:r>
          </w:p>
        </w:tc>
      </w:tr>
      <w:tr w:rsidR="008950B8" w:rsidTr="008950B8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1 111,8</w:t>
            </w: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1 111,5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lastRenderedPageBreak/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1 111,5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793,6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793,6</w:t>
            </w: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317,9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79,4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155,7</w:t>
            </w: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72,4</w:t>
            </w: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10,4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0,3</w:t>
            </w:r>
          </w:p>
        </w:tc>
      </w:tr>
      <w:tr w:rsidR="008950B8" w:rsidTr="008950B8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Непрограммные расходы в рамках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обеспечения деятельности главных распорядителей бюджетных средств Республики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 Мордовия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0,3</w:t>
            </w:r>
          </w:p>
        </w:tc>
      </w:tr>
      <w:tr w:rsidR="008950B8" w:rsidTr="008950B8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7700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0,3</w:t>
            </w:r>
          </w:p>
        </w:tc>
      </w:tr>
      <w:tr w:rsidR="008950B8" w:rsidTr="008950B8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7715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0,3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7715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0,3</w:t>
            </w:r>
          </w:p>
        </w:tc>
      </w:tr>
      <w:tr w:rsidR="008950B8" w:rsidTr="008950B8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15,0</w:t>
            </w:r>
          </w:p>
        </w:tc>
      </w:tr>
      <w:tr w:rsidR="008950B8" w:rsidTr="008950B8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Непрограммные расходы в рамках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обеспечения деятельности главных распорядителей бюджетных средств Республики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 Мордовия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15,0</w:t>
            </w: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15,0</w:t>
            </w: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15,0</w:t>
            </w: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54,3</w:t>
            </w:r>
          </w:p>
        </w:tc>
      </w:tr>
      <w:tr w:rsidR="008950B8" w:rsidTr="008950B8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54,3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54,3</w:t>
            </w:r>
          </w:p>
        </w:tc>
      </w:tr>
      <w:tr w:rsidR="008950B8" w:rsidTr="008950B8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54,3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54,3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43,6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3,0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7,7</w:t>
            </w: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195,1</w:t>
            </w:r>
          </w:p>
        </w:tc>
      </w:tr>
      <w:tr w:rsidR="008950B8" w:rsidTr="008950B8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195,1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195,1</w:t>
            </w:r>
          </w:p>
        </w:tc>
      </w:tr>
      <w:tr w:rsidR="008950B8" w:rsidTr="008950B8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Непрограммные расходы в рамках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обеспечения деятельности главных распорядителей бюджетных средств Республики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 Мордовия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195,1</w:t>
            </w: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108,1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108,1</w:t>
            </w: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Озеленение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25,0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25,0</w:t>
            </w: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35,0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35,0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27,0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27,0</w:t>
            </w: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1 310,1</w:t>
            </w:r>
          </w:p>
        </w:tc>
      </w:tr>
      <w:tr w:rsidR="008950B8" w:rsidTr="008950B8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1 310,1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1 310,1</w:t>
            </w:r>
          </w:p>
        </w:tc>
      </w:tr>
      <w:tr w:rsidR="008950B8" w:rsidTr="008950B8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Непрограммные расходы в рамках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обеспечения деятельности главных распорядителей бюджетных средств Республики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 Мордовия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1 310,1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1 310,1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996,1</w:t>
            </w:r>
          </w:p>
        </w:tc>
      </w:tr>
      <w:tr w:rsidR="008950B8" w:rsidTr="008950B8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996,1</w:t>
            </w: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314,0</w:t>
            </w:r>
          </w:p>
        </w:tc>
      </w:tr>
      <w:tr w:rsidR="008950B8" w:rsidTr="008950B8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314,0</w:t>
            </w: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54,7</w:t>
            </w:r>
          </w:p>
        </w:tc>
      </w:tr>
      <w:tr w:rsidR="008950B8" w:rsidTr="008950B8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54,7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54,7</w:t>
            </w:r>
          </w:p>
        </w:tc>
      </w:tr>
      <w:tr w:rsidR="008950B8" w:rsidTr="008950B8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Непрограммные расходы в рамках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обеспечения деятельности главных распорядителей бюджетных средств Республики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 Мордовия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54,7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54,7</w:t>
            </w: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Доплаты к пенсиям муниципальных служащих Республики Мордовия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54,7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54,7</w:t>
            </w:r>
          </w:p>
        </w:tc>
      </w:tr>
      <w:tr w:rsidR="008950B8" w:rsidTr="008950B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950B8" w:rsidTr="008950B8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950B8" w:rsidTr="008950B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0,0</w:t>
            </w:r>
          </w:p>
        </w:tc>
      </w:tr>
      <w:tr w:rsidR="008950B8" w:rsidTr="008950B8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Непрограммные расходы в рамках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обеспечения деятельности главных распорядителей бюджетных средств Республики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 Мордовия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0,0</w:t>
            </w:r>
          </w:p>
        </w:tc>
      </w:tr>
      <w:tr w:rsidR="008950B8" w:rsidTr="008950B8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 xml:space="preserve">Процентные платежи по муниципальному долгу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0,0</w:t>
            </w:r>
          </w:p>
        </w:tc>
      </w:tr>
      <w:tr w:rsidR="008950B8" w:rsidTr="008950B8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0,0</w:t>
            </w:r>
          </w:p>
        </w:tc>
      </w:tr>
    </w:tbl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tbl>
      <w:tblPr>
        <w:tblW w:w="10125" w:type="dxa"/>
        <w:tblCellSpacing w:w="0" w:type="dxa"/>
        <w:tblInd w:w="-694" w:type="dxa"/>
        <w:tblLayout w:type="fixed"/>
        <w:tblLook w:val="04A0" w:firstRow="1" w:lastRow="0" w:firstColumn="1" w:lastColumn="0" w:noHBand="0" w:noVBand="1"/>
      </w:tblPr>
      <w:tblGrid>
        <w:gridCol w:w="4095"/>
        <w:gridCol w:w="2089"/>
        <w:gridCol w:w="1209"/>
        <w:gridCol w:w="50"/>
        <w:gridCol w:w="390"/>
        <w:gridCol w:w="50"/>
        <w:gridCol w:w="182"/>
        <w:gridCol w:w="50"/>
        <w:gridCol w:w="99"/>
        <w:gridCol w:w="50"/>
        <w:gridCol w:w="195"/>
        <w:gridCol w:w="167"/>
        <w:gridCol w:w="50"/>
        <w:gridCol w:w="294"/>
        <w:gridCol w:w="50"/>
        <w:gridCol w:w="544"/>
        <w:gridCol w:w="511"/>
        <w:gridCol w:w="50"/>
      </w:tblGrid>
      <w:tr w:rsidR="008950B8" w:rsidTr="008950B8">
        <w:trPr>
          <w:trHeight w:val="375"/>
          <w:tblCellSpacing w:w="0" w:type="dxa"/>
        </w:trPr>
        <w:tc>
          <w:tcPr>
            <w:tcW w:w="4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Приложение 5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75"/>
          <w:tblCellSpacing w:w="0" w:type="dxa"/>
        </w:trPr>
        <w:tc>
          <w:tcPr>
            <w:tcW w:w="4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к решению Совета депутатов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75"/>
          <w:tblCellSpacing w:w="0" w:type="dxa"/>
        </w:trPr>
        <w:tc>
          <w:tcPr>
            <w:tcW w:w="4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Парапинского сельского поселения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75"/>
          <w:tblCellSpacing w:w="0" w:type="dxa"/>
        </w:trPr>
        <w:tc>
          <w:tcPr>
            <w:tcW w:w="4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Ковылкинского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муниципального района РМ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gridAfter w:val="2"/>
          <w:wAfter w:w="561" w:type="dxa"/>
          <w:trHeight w:val="360"/>
          <w:tblCellSpacing w:w="0" w:type="dxa"/>
        </w:trPr>
        <w:tc>
          <w:tcPr>
            <w:tcW w:w="4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29.12.2014г</w:t>
            </w:r>
          </w:p>
        </w:tc>
        <w:tc>
          <w:tcPr>
            <w:tcW w:w="4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30"/>
          <w:tblCellSpacing w:w="0" w:type="dxa"/>
        </w:trPr>
        <w:tc>
          <w:tcPr>
            <w:tcW w:w="4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30"/>
          <w:tblCellSpacing w:w="0" w:type="dxa"/>
        </w:trPr>
        <w:tc>
          <w:tcPr>
            <w:tcW w:w="4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bookmarkStart w:id="2" w:name="_GoBack"/>
            <w:bookmarkEnd w:id="2"/>
          </w:p>
        </w:tc>
        <w:tc>
          <w:tcPr>
            <w:tcW w:w="32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525"/>
          <w:tblCellSpacing w:w="0" w:type="dxa"/>
        </w:trPr>
        <w:tc>
          <w:tcPr>
            <w:tcW w:w="409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9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gridAfter w:val="1"/>
          <w:wAfter w:w="50" w:type="dxa"/>
          <w:trHeight w:val="915"/>
          <w:tblCellSpacing w:w="0" w:type="dxa"/>
        </w:trPr>
        <w:tc>
          <w:tcPr>
            <w:tcW w:w="10079" w:type="dxa"/>
            <w:gridSpan w:val="1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 xml:space="preserve">ВЕДОМСТВЕННАЯ СТРУКТУРА РАСХОДОВ БЮДЖЕТА ПАРАПИНСКОГО СЕЛЬСКОГО ПОСЕЛЕНИЯ КОВЫЛКИНСКОГО МУНИЦИПАЛЬНОГО РАЙОНА РЕСПУБЛИКИ МОРДОВИЯ НА 2014 год </w:t>
            </w:r>
          </w:p>
        </w:tc>
      </w:tr>
      <w:tr w:rsidR="008950B8" w:rsidTr="008950B8">
        <w:trPr>
          <w:gridAfter w:val="1"/>
          <w:wAfter w:w="50" w:type="dxa"/>
          <w:trHeight w:val="255"/>
          <w:tblCellSpacing w:w="0" w:type="dxa"/>
        </w:trPr>
        <w:tc>
          <w:tcPr>
            <w:tcW w:w="409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gridAfter w:val="1"/>
          <w:wAfter w:w="50" w:type="dxa"/>
          <w:trHeight w:val="270"/>
          <w:tblCellSpacing w:w="0" w:type="dxa"/>
        </w:trPr>
        <w:tc>
          <w:tcPr>
            <w:tcW w:w="409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gridAfter w:val="1"/>
          <w:wAfter w:w="50" w:type="dxa"/>
          <w:trHeight w:val="270"/>
          <w:tblCellSpacing w:w="0" w:type="dxa"/>
        </w:trPr>
        <w:tc>
          <w:tcPr>
            <w:tcW w:w="4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09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Адм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ПРз</w:t>
            </w:r>
            <w:proofErr w:type="spellEnd"/>
          </w:p>
        </w:tc>
        <w:tc>
          <w:tcPr>
            <w:tcW w:w="793" w:type="dxa"/>
            <w:gridSpan w:val="7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3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05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Сумма (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.)</w:t>
            </w:r>
          </w:p>
        </w:tc>
      </w:tr>
      <w:tr w:rsidR="008950B8" w:rsidTr="008950B8">
        <w:trPr>
          <w:gridAfter w:val="1"/>
          <w:wAfter w:w="50" w:type="dxa"/>
          <w:trHeight w:val="465"/>
          <w:tblCellSpacing w:w="0" w:type="dxa"/>
        </w:trPr>
        <w:tc>
          <w:tcPr>
            <w:tcW w:w="4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7"/>
                <w:szCs w:val="27"/>
                <w:lang w:eastAsia="en-US"/>
              </w:rPr>
              <w:t>ВСЕГО</w:t>
            </w:r>
          </w:p>
        </w:tc>
        <w:tc>
          <w:tcPr>
            <w:tcW w:w="209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 Narrow" w:hAnsi="Helvetica Narrow" w:cs="Arial CYR"/>
                <w:b/>
                <w:bCs/>
                <w:color w:val="000000"/>
                <w:sz w:val="27"/>
                <w:szCs w:val="27"/>
                <w:lang w:eastAsia="en-US"/>
              </w:rPr>
              <w:t>2 921,3</w:t>
            </w:r>
          </w:p>
        </w:tc>
      </w:tr>
      <w:tr w:rsidR="008950B8" w:rsidTr="008950B8">
        <w:trPr>
          <w:gridAfter w:val="1"/>
          <w:wAfter w:w="50" w:type="dxa"/>
          <w:trHeight w:val="270"/>
          <w:tblCellSpacing w:w="0" w:type="dxa"/>
        </w:trPr>
        <w:tc>
          <w:tcPr>
            <w:tcW w:w="409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Администрация Парапинского сельского поселения</w:t>
            </w:r>
          </w:p>
        </w:tc>
        <w:tc>
          <w:tcPr>
            <w:tcW w:w="2090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gridSpan w:val="2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gridSpan w:val="2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18" w:space="0" w:color="000000"/>
              <w:left w:val="single" w:sz="6" w:space="0" w:color="000000"/>
              <w:bottom w:val="nil"/>
              <w:right w:val="single" w:sz="1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2 921,3</w:t>
            </w:r>
          </w:p>
        </w:tc>
      </w:tr>
      <w:tr w:rsidR="008950B8" w:rsidTr="008950B8">
        <w:trPr>
          <w:gridAfter w:val="1"/>
          <w:wAfter w:w="50" w:type="dxa"/>
          <w:trHeight w:val="255"/>
          <w:tblCellSpacing w:w="0" w:type="dxa"/>
        </w:trPr>
        <w:tc>
          <w:tcPr>
            <w:tcW w:w="409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0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1 307,1</w:t>
            </w:r>
          </w:p>
        </w:tc>
      </w:tr>
      <w:tr w:rsidR="008950B8" w:rsidTr="008950B8">
        <w:trPr>
          <w:gridAfter w:val="1"/>
          <w:wAfter w:w="50" w:type="dxa"/>
          <w:trHeight w:val="72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180,3</w:t>
            </w:r>
          </w:p>
        </w:tc>
      </w:tr>
      <w:tr w:rsidR="008950B8" w:rsidTr="008950B8">
        <w:trPr>
          <w:gridAfter w:val="1"/>
          <w:wAfter w:w="50" w:type="dxa"/>
          <w:trHeight w:val="25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180,3</w:t>
            </w:r>
          </w:p>
        </w:tc>
      </w:tr>
      <w:tr w:rsidR="008950B8" w:rsidTr="008950B8">
        <w:trPr>
          <w:gridAfter w:val="1"/>
          <w:wAfter w:w="50" w:type="dxa"/>
          <w:trHeight w:val="25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Глава муниципального образования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180,3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8011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180,3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8011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121</w:t>
            </w: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180,3</w:t>
            </w:r>
          </w:p>
        </w:tc>
      </w:tr>
      <w:tr w:rsidR="008950B8" w:rsidTr="008950B8">
        <w:trPr>
          <w:gridAfter w:val="1"/>
          <w:wAfter w:w="50" w:type="dxa"/>
          <w:trHeight w:val="72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1 111,8</w:t>
            </w:r>
          </w:p>
        </w:tc>
      </w:tr>
      <w:tr w:rsidR="008950B8" w:rsidTr="008950B8">
        <w:trPr>
          <w:gridAfter w:val="1"/>
          <w:wAfter w:w="50" w:type="dxa"/>
          <w:trHeight w:val="25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1 111,5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1 111,5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8011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793,6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8011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121</w:t>
            </w: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793,6</w:t>
            </w:r>
          </w:p>
        </w:tc>
      </w:tr>
      <w:tr w:rsidR="008950B8" w:rsidTr="008950B8">
        <w:trPr>
          <w:gridAfter w:val="1"/>
          <w:wAfter w:w="50" w:type="dxa"/>
          <w:trHeight w:val="43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8012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317,9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8012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122</w:t>
            </w: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79,4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8012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244</w:t>
            </w: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155,7</w:t>
            </w:r>
          </w:p>
        </w:tc>
      </w:tr>
      <w:tr w:rsidR="008950B8" w:rsidTr="008950B8">
        <w:trPr>
          <w:gridAfter w:val="1"/>
          <w:wAfter w:w="50" w:type="dxa"/>
          <w:trHeight w:val="25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8012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851</w:t>
            </w: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72,4</w:t>
            </w:r>
          </w:p>
        </w:tc>
      </w:tr>
      <w:tr w:rsidR="008950B8" w:rsidTr="008950B8">
        <w:trPr>
          <w:gridAfter w:val="1"/>
          <w:wAfter w:w="50" w:type="dxa"/>
          <w:trHeight w:val="25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8012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852</w:t>
            </w: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10,4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0,3</w:t>
            </w:r>
          </w:p>
        </w:tc>
      </w:tr>
      <w:tr w:rsidR="008950B8" w:rsidTr="008950B8">
        <w:trPr>
          <w:gridAfter w:val="1"/>
          <w:wAfter w:w="50" w:type="dxa"/>
          <w:trHeight w:val="67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Непрограммные расходы в рамках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обеспечения деятельности главных распорядителей бюджетных средств Республики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 Мордовия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0,3</w:t>
            </w:r>
          </w:p>
        </w:tc>
      </w:tr>
      <w:tr w:rsidR="008950B8" w:rsidTr="008950B8">
        <w:trPr>
          <w:gridAfter w:val="1"/>
          <w:wAfter w:w="50" w:type="dxa"/>
          <w:trHeight w:val="67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7700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0,3</w:t>
            </w:r>
          </w:p>
        </w:tc>
      </w:tr>
      <w:tr w:rsidR="008950B8" w:rsidTr="008950B8">
        <w:trPr>
          <w:gridAfter w:val="1"/>
          <w:wAfter w:w="50" w:type="dxa"/>
          <w:trHeight w:val="70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7715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0,3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7715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244</w:t>
            </w: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0,3</w:t>
            </w:r>
          </w:p>
        </w:tc>
      </w:tr>
      <w:tr w:rsidR="008950B8" w:rsidTr="008950B8">
        <w:trPr>
          <w:gridAfter w:val="1"/>
          <w:wAfter w:w="50" w:type="dxa"/>
          <w:trHeight w:val="24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15,0</w:t>
            </w:r>
          </w:p>
        </w:tc>
      </w:tr>
      <w:tr w:rsidR="008950B8" w:rsidTr="008950B8">
        <w:trPr>
          <w:gridAfter w:val="1"/>
          <w:wAfter w:w="50" w:type="dxa"/>
          <w:trHeight w:val="67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Непрограммные расходы в рамках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обеспечения деятельности главных распорядителей бюджетных средств Республики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 Мордовия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15,0</w:t>
            </w:r>
          </w:p>
        </w:tc>
      </w:tr>
      <w:tr w:rsidR="008950B8" w:rsidTr="008950B8">
        <w:trPr>
          <w:gridAfter w:val="1"/>
          <w:wAfter w:w="50" w:type="dxa"/>
          <w:trHeight w:val="25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Резервные фонды местных администраций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8019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15,0</w:t>
            </w:r>
          </w:p>
        </w:tc>
      </w:tr>
      <w:tr w:rsidR="008950B8" w:rsidTr="008950B8">
        <w:trPr>
          <w:gridAfter w:val="1"/>
          <w:wAfter w:w="50" w:type="dxa"/>
          <w:trHeight w:val="25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Резервные средства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8019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870</w:t>
            </w: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15,0</w:t>
            </w:r>
          </w:p>
        </w:tc>
      </w:tr>
      <w:tr w:rsidR="008950B8" w:rsidTr="008950B8">
        <w:trPr>
          <w:gridAfter w:val="1"/>
          <w:wAfter w:w="50" w:type="dxa"/>
          <w:trHeight w:val="25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54,3</w:t>
            </w:r>
          </w:p>
        </w:tc>
      </w:tr>
      <w:tr w:rsidR="008950B8" w:rsidTr="008950B8">
        <w:trPr>
          <w:gridAfter w:val="1"/>
          <w:wAfter w:w="50" w:type="dxa"/>
          <w:trHeight w:val="24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54,3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54,3</w:t>
            </w:r>
          </w:p>
        </w:tc>
      </w:tr>
      <w:tr w:rsidR="008950B8" w:rsidTr="008950B8">
        <w:trPr>
          <w:gridAfter w:val="1"/>
          <w:wAfter w:w="50" w:type="dxa"/>
          <w:trHeight w:val="90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54,3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5118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54,3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5118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121</w:t>
            </w: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43,6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5118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122</w:t>
            </w: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3,0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5118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244</w:t>
            </w: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7,7</w:t>
            </w:r>
          </w:p>
        </w:tc>
      </w:tr>
      <w:tr w:rsidR="008950B8" w:rsidTr="008950B8">
        <w:trPr>
          <w:gridAfter w:val="1"/>
          <w:wAfter w:w="50" w:type="dxa"/>
          <w:trHeight w:val="25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195,1</w:t>
            </w:r>
          </w:p>
        </w:tc>
      </w:tr>
      <w:tr w:rsidR="008950B8" w:rsidTr="008950B8">
        <w:trPr>
          <w:gridAfter w:val="1"/>
          <w:wAfter w:w="50" w:type="dxa"/>
          <w:trHeight w:val="24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195,1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195,1</w:t>
            </w:r>
          </w:p>
        </w:tc>
      </w:tr>
      <w:tr w:rsidR="008950B8" w:rsidTr="008950B8">
        <w:trPr>
          <w:gridAfter w:val="1"/>
          <w:wAfter w:w="50" w:type="dxa"/>
          <w:trHeight w:val="67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Непрограммные расходы в рамках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обеспечения деятельности главных распорядителей бюджетных средств Республики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 Мордовия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195,1</w:t>
            </w:r>
          </w:p>
        </w:tc>
      </w:tr>
      <w:tr w:rsidR="008950B8" w:rsidTr="008950B8">
        <w:trPr>
          <w:gridAfter w:val="1"/>
          <w:wAfter w:w="50" w:type="dxa"/>
          <w:trHeight w:val="25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Уличное освещение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6010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108,1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6010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244</w:t>
            </w: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108,1</w:t>
            </w:r>
          </w:p>
        </w:tc>
      </w:tr>
      <w:tr w:rsidR="008950B8" w:rsidTr="008950B8">
        <w:trPr>
          <w:gridAfter w:val="1"/>
          <w:wAfter w:w="50" w:type="dxa"/>
          <w:trHeight w:val="25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Озеленение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6020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25,0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6020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244</w:t>
            </w: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25,0</w:t>
            </w:r>
          </w:p>
        </w:tc>
      </w:tr>
      <w:tr w:rsidR="008950B8" w:rsidTr="008950B8">
        <w:trPr>
          <w:gridAfter w:val="1"/>
          <w:wAfter w:w="50" w:type="dxa"/>
          <w:trHeight w:val="25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6030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35,0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6030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244</w:t>
            </w: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35,0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6040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27,0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6040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244</w:t>
            </w: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27,0</w:t>
            </w:r>
          </w:p>
        </w:tc>
      </w:tr>
      <w:tr w:rsidR="008950B8" w:rsidTr="008950B8">
        <w:trPr>
          <w:gridAfter w:val="1"/>
          <w:wAfter w:w="50" w:type="dxa"/>
          <w:trHeight w:val="25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1 310,1</w:t>
            </w:r>
          </w:p>
        </w:tc>
      </w:tr>
      <w:tr w:rsidR="008950B8" w:rsidTr="008950B8">
        <w:trPr>
          <w:gridAfter w:val="1"/>
          <w:wAfter w:w="50" w:type="dxa"/>
          <w:trHeight w:val="24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1 310,1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08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1 310,1</w:t>
            </w:r>
          </w:p>
        </w:tc>
      </w:tr>
      <w:tr w:rsidR="008950B8" w:rsidTr="008950B8">
        <w:trPr>
          <w:gridAfter w:val="1"/>
          <w:wAfter w:w="50" w:type="dxa"/>
          <w:trHeight w:val="67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Непрограммные расходы в рамках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обеспечения деятельности главных распорядителей бюджетных средств Республики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 Мордовия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08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1 310,1</w:t>
            </w:r>
          </w:p>
        </w:tc>
      </w:tr>
      <w:tr w:rsidR="008950B8" w:rsidTr="008950B8">
        <w:trPr>
          <w:gridAfter w:val="1"/>
          <w:wAfter w:w="50" w:type="dxa"/>
          <w:trHeight w:val="67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08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8100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1 310,1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08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8129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996,1</w:t>
            </w:r>
          </w:p>
        </w:tc>
      </w:tr>
      <w:tr w:rsidR="008950B8" w:rsidTr="008950B8">
        <w:trPr>
          <w:gridAfter w:val="1"/>
          <w:wAfter w:w="50" w:type="dxa"/>
          <w:trHeight w:val="67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08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8129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611</w:t>
            </w: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996,1</w:t>
            </w:r>
          </w:p>
        </w:tc>
      </w:tr>
      <w:tr w:rsidR="008950B8" w:rsidTr="008950B8">
        <w:trPr>
          <w:gridAfter w:val="1"/>
          <w:wAfter w:w="50" w:type="dxa"/>
          <w:trHeight w:val="25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Библиотеки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08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8131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314,0</w:t>
            </w:r>
          </w:p>
        </w:tc>
      </w:tr>
      <w:tr w:rsidR="008950B8" w:rsidTr="008950B8">
        <w:trPr>
          <w:gridAfter w:val="1"/>
          <w:wAfter w:w="50" w:type="dxa"/>
          <w:trHeight w:val="67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08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8131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611</w:t>
            </w: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314,0</w:t>
            </w:r>
          </w:p>
        </w:tc>
      </w:tr>
      <w:tr w:rsidR="008950B8" w:rsidTr="008950B8">
        <w:trPr>
          <w:gridAfter w:val="1"/>
          <w:wAfter w:w="50" w:type="dxa"/>
          <w:trHeight w:val="25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54,7</w:t>
            </w:r>
          </w:p>
        </w:tc>
      </w:tr>
      <w:tr w:rsidR="008950B8" w:rsidTr="008950B8">
        <w:trPr>
          <w:gridAfter w:val="1"/>
          <w:wAfter w:w="50" w:type="dxa"/>
          <w:trHeight w:val="24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54,7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54,7</w:t>
            </w:r>
          </w:p>
        </w:tc>
      </w:tr>
      <w:tr w:rsidR="008950B8" w:rsidTr="008950B8">
        <w:trPr>
          <w:gridAfter w:val="1"/>
          <w:wAfter w:w="50" w:type="dxa"/>
          <w:trHeight w:val="67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lastRenderedPageBreak/>
              <w:t xml:space="preserve">Непрограммные расходы в рамках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обеспечения деятельности главных распорядителей бюджетных средств Республики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 Мордовия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54,7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8200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54,7</w:t>
            </w:r>
          </w:p>
        </w:tc>
      </w:tr>
      <w:tr w:rsidR="008950B8" w:rsidTr="008950B8">
        <w:trPr>
          <w:gridAfter w:val="1"/>
          <w:wAfter w:w="50" w:type="dxa"/>
          <w:trHeight w:val="25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Доплаты к пенсиям муниципальных служащих Республики Мордовия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8213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54,7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8213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321</w:t>
            </w: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54,7</w:t>
            </w:r>
          </w:p>
        </w:tc>
      </w:tr>
      <w:tr w:rsidR="008950B8" w:rsidTr="008950B8">
        <w:trPr>
          <w:gridAfter w:val="1"/>
          <w:wAfter w:w="50" w:type="dxa"/>
          <w:trHeight w:val="51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950B8" w:rsidTr="008950B8">
        <w:trPr>
          <w:gridAfter w:val="1"/>
          <w:wAfter w:w="50" w:type="dxa"/>
          <w:trHeight w:val="48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950B8" w:rsidTr="008950B8">
        <w:trPr>
          <w:gridAfter w:val="1"/>
          <w:wAfter w:w="50" w:type="dxa"/>
          <w:trHeight w:val="45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0,0</w:t>
            </w:r>
          </w:p>
        </w:tc>
      </w:tr>
      <w:tr w:rsidR="008950B8" w:rsidTr="008950B8">
        <w:trPr>
          <w:gridAfter w:val="1"/>
          <w:wAfter w:w="50" w:type="dxa"/>
          <w:trHeight w:val="67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Непрограммные расходы в рамках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обеспечения деятельности главных распорядителей бюджетных средств Республики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 xml:space="preserve"> Мордовия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0,0</w:t>
            </w:r>
          </w:p>
        </w:tc>
      </w:tr>
      <w:tr w:rsidR="008950B8" w:rsidTr="008950B8">
        <w:trPr>
          <w:gridAfter w:val="1"/>
          <w:wAfter w:w="50" w:type="dxa"/>
          <w:trHeight w:val="255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 xml:space="preserve">Процентные платежи по муниципальному долгу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8024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0,0</w:t>
            </w:r>
          </w:p>
        </w:tc>
      </w:tr>
      <w:tr w:rsidR="008950B8" w:rsidTr="008950B8">
        <w:trPr>
          <w:gridAfter w:val="1"/>
          <w:wAfter w:w="50" w:type="dxa"/>
          <w:trHeight w:val="270"/>
          <w:tblCellSpacing w:w="0" w:type="dxa"/>
        </w:trPr>
        <w:tc>
          <w:tcPr>
            <w:tcW w:w="409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928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8024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730</w:t>
            </w: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  <w:lang w:eastAsia="en-US"/>
              </w:rPr>
              <w:t>0,0</w:t>
            </w:r>
          </w:p>
        </w:tc>
      </w:tr>
    </w:tbl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373"/>
        <w:gridCol w:w="4191"/>
        <w:gridCol w:w="2993"/>
        <w:gridCol w:w="276"/>
        <w:gridCol w:w="276"/>
        <w:gridCol w:w="276"/>
      </w:tblGrid>
      <w:tr w:rsidR="008950B8" w:rsidTr="008950B8">
        <w:trPr>
          <w:gridAfter w:val="3"/>
          <w:trHeight w:val="375"/>
          <w:tblCellSpacing w:w="0" w:type="dxa"/>
        </w:trPr>
        <w:tc>
          <w:tcPr>
            <w:tcW w:w="2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Приложение 6</w:t>
            </w:r>
          </w:p>
        </w:tc>
      </w:tr>
      <w:tr w:rsidR="008950B8" w:rsidTr="008950B8">
        <w:trPr>
          <w:gridAfter w:val="3"/>
          <w:trHeight w:val="37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к решению сессии Совета депутатов </w:t>
            </w:r>
          </w:p>
        </w:tc>
      </w:tr>
      <w:tr w:rsidR="008950B8" w:rsidTr="008950B8">
        <w:trPr>
          <w:gridAfter w:val="3"/>
          <w:trHeight w:val="37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Парапинского сельского поселения</w:t>
            </w:r>
          </w:p>
        </w:tc>
      </w:tr>
      <w:tr w:rsidR="008950B8" w:rsidTr="008950B8">
        <w:trPr>
          <w:gridAfter w:val="3"/>
          <w:trHeight w:val="37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Ковылкинского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муниципального района</w:t>
            </w:r>
          </w:p>
        </w:tc>
      </w:tr>
      <w:tr w:rsidR="008950B8" w:rsidTr="008950B8">
        <w:trPr>
          <w:gridAfter w:val="3"/>
          <w:trHeight w:val="37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29.12.2014  №5</w:t>
            </w:r>
          </w:p>
        </w:tc>
      </w:tr>
      <w:tr w:rsidR="008950B8" w:rsidTr="008950B8">
        <w:trPr>
          <w:gridAfter w:val="3"/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gridAfter w:val="3"/>
          <w:trHeight w:val="264"/>
          <w:tblCellSpacing w:w="0" w:type="dxa"/>
        </w:trPr>
        <w:tc>
          <w:tcPr>
            <w:tcW w:w="0" w:type="auto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 xml:space="preserve">Источники внутреннего финансирования дефицита бюджета Парапинского сельского поселения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Ковылкинского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 xml:space="preserve"> муниципального района на 2015 год</w:t>
            </w:r>
          </w:p>
        </w:tc>
      </w:tr>
      <w:tr w:rsidR="008950B8" w:rsidTr="008950B8">
        <w:trPr>
          <w:gridAfter w:val="3"/>
          <w:trHeight w:val="230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8950B8" w:rsidRDefault="008950B8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</w:tr>
      <w:tr w:rsidR="008950B8" w:rsidTr="008950B8">
        <w:trPr>
          <w:gridAfter w:val="3"/>
          <w:trHeight w:val="230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8950B8" w:rsidRDefault="008950B8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</w:tr>
      <w:tr w:rsidR="008950B8" w:rsidTr="008950B8">
        <w:trPr>
          <w:trHeight w:val="1230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8950B8" w:rsidRDefault="008950B8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(тыс. рублей)</w:t>
            </w:r>
          </w:p>
        </w:tc>
      </w:tr>
      <w:tr w:rsidR="008950B8" w:rsidTr="008950B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СУММА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000 90 00 00 00 00 0000 000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Источники финансирования дефицитов бюджетов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180,2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00 00 00 00 0000 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180,2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000 01 05 00 00 00 0000 000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180,2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000 01 05 00 00 00 0000 500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-2 741,1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000 01 05 02 00 00 0000 500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-2 741,1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000 01 05 02 01 00 0000 510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-2 741,1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000 01 05 02 01 10 0000 510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-2 741,1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000 01 05 00 00 00 0000 600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2 921,3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000 01 05 02 00 00 0000 </w:t>
            </w:r>
            <w:r>
              <w:rPr>
                <w:b/>
                <w:bCs/>
                <w:color w:val="000000"/>
                <w:lang w:eastAsia="en-US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2 921,3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000 01 05 02 01 00 0000 610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2 921,3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50B8" w:rsidTr="008950B8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000 01 05 02 01 10 0000 610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0B8" w:rsidRDefault="008950B8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2 921,3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0B8" w:rsidRDefault="008950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8950B8" w:rsidRDefault="008950B8" w:rsidP="008950B8">
      <w:pPr>
        <w:rPr>
          <w:sz w:val="28"/>
          <w:szCs w:val="28"/>
        </w:rPr>
      </w:pPr>
    </w:p>
    <w:p w:rsidR="006C2ABD" w:rsidRDefault="006C2ABD"/>
    <w:sectPr w:rsidR="006C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070"/>
    <w:multiLevelType w:val="hybridMultilevel"/>
    <w:tmpl w:val="023C12EA"/>
    <w:lvl w:ilvl="0" w:tplc="B70E1A7C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D04B32"/>
    <w:multiLevelType w:val="hybridMultilevel"/>
    <w:tmpl w:val="F0707F68"/>
    <w:lvl w:ilvl="0" w:tplc="AB1AA3E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A3"/>
    <w:rsid w:val="00564AA3"/>
    <w:rsid w:val="006C2ABD"/>
    <w:rsid w:val="0077352E"/>
    <w:rsid w:val="008950B8"/>
    <w:rsid w:val="00B61C9B"/>
    <w:rsid w:val="00BC2A9B"/>
    <w:rsid w:val="00F4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B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352E"/>
    <w:rPr>
      <w:b/>
      <w:bCs/>
    </w:rPr>
  </w:style>
  <w:style w:type="paragraph" w:styleId="a4">
    <w:name w:val="List Paragraph"/>
    <w:basedOn w:val="a"/>
    <w:uiPriority w:val="34"/>
    <w:qFormat/>
    <w:rsid w:val="008950B8"/>
    <w:pPr>
      <w:ind w:left="720"/>
      <w:contextualSpacing/>
    </w:pPr>
  </w:style>
  <w:style w:type="paragraph" w:customStyle="1" w:styleId="ConsTitle">
    <w:name w:val="ConsTitle"/>
    <w:rsid w:val="008950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8950B8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89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8950B8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C9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B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352E"/>
    <w:rPr>
      <w:b/>
      <w:bCs/>
    </w:rPr>
  </w:style>
  <w:style w:type="paragraph" w:styleId="a4">
    <w:name w:val="List Paragraph"/>
    <w:basedOn w:val="a"/>
    <w:uiPriority w:val="34"/>
    <w:qFormat/>
    <w:rsid w:val="008950B8"/>
    <w:pPr>
      <w:ind w:left="720"/>
      <w:contextualSpacing/>
    </w:pPr>
  </w:style>
  <w:style w:type="paragraph" w:customStyle="1" w:styleId="ConsTitle">
    <w:name w:val="ConsTitle"/>
    <w:rsid w:val="008950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8950B8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89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8950B8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C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5386</Words>
  <Characters>30705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2015-06-05T05:45:00Z</cp:lastPrinted>
  <dcterms:created xsi:type="dcterms:W3CDTF">2015-01-14T11:35:00Z</dcterms:created>
  <dcterms:modified xsi:type="dcterms:W3CDTF">2015-06-05T06:00:00Z</dcterms:modified>
</cp:coreProperties>
</file>